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w:t>
      </w:r>
      <w:r>
        <w:rPr>
          <w:lang w:val="fr-FR"/>
        </w:rPr>
        <w:t>4/T</w:t>
      </w:r>
      <w:r>
        <w:fldChar w:fldCharType="end"/>
      </w:r>
      <w:bookmarkEnd w:id="5"/>
      <w:r>
        <w:rPr>
          <w:lang w:val="fr-FR"/>
        </w:rPr>
        <w:t xml:space="preserve"> </w:t>
      </w:r>
      <w:r>
        <w:rPr>
          <w:rFonts w:hint="eastAsia"/>
        </w:rPr>
        <w:t>933</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rFonts w:hint="eastAsia"/>
          <w:lang w:eastAsia="zh-CN"/>
        </w:rPr>
        <w:t>X</w:t>
      </w:r>
      <w:r>
        <w:rPr>
          <w:rFonts w:hint="eastAsia"/>
          <w:lang w:val="en-US" w:eastAsia="zh-CN"/>
        </w:rPr>
        <w:t>XXX</w:t>
      </w:r>
      <w:r>
        <w:fldChar w:fldCharType="end"/>
      </w:r>
      <w:bookmarkEnd w:id="6"/>
    </w:p>
    <w:p>
      <w:pPr>
        <w:pStyle w:val="196"/>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代替 DB14/T 933</w:t>
      </w:r>
      <w:r>
        <w:rPr>
          <w:rFonts w:hint="eastAsia" w:hAnsi="黑体"/>
        </w:rPr>
        <w:t>-2</w:t>
      </w:r>
      <w:r>
        <w:rPr>
          <w:rFonts w:hAnsi="黑体"/>
        </w:rPr>
        <w:t>014</w:t>
      </w:r>
      <w:r>
        <w:rPr>
          <w:rFonts w:hAnsi="黑体"/>
        </w:rPr>
        <w:fldChar w:fldCharType="end"/>
      </w:r>
      <w:bookmarkEnd w:id="7"/>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高光效苹果园建设技术规程</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125" w:name="_GoBack"/>
      <w:bookmarkEnd w:id="125"/>
      <w:bookmarkStart w:id="20" w:name="BookMark1"/>
      <w:bookmarkStart w:id="21" w:name="_Toc164150977"/>
      <w:bookmarkStart w:id="22" w:name="_Toc156231881"/>
      <w:bookmarkStart w:id="23" w:name="_Toc156231915"/>
      <w:r>
        <w:rPr>
          <w:rFonts w:hint="eastAsia"/>
          <w:spacing w:val="320"/>
        </w:rPr>
        <w:t>目</w:t>
      </w:r>
      <w:r>
        <w:rPr>
          <w:rFonts w:hint="eastAsia"/>
        </w:rPr>
        <w:t>次</w:t>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"_Toc164151052" </w:instrText>
      </w:r>
      <w:r>
        <w:fldChar w:fldCharType="separate"/>
      </w:r>
      <w:r>
        <w:rPr>
          <w:rStyle w:val="32"/>
        </w:rPr>
        <w:t>前言</w:t>
      </w:r>
      <w:r>
        <w:tab/>
      </w:r>
      <w:r>
        <w:fldChar w:fldCharType="begin"/>
      </w:r>
      <w:r>
        <w:instrText xml:space="preserve"> PAGEREF _Toc164151052 \h </w:instrText>
      </w:r>
      <w:r>
        <w:fldChar w:fldCharType="separate"/>
      </w:r>
      <w:r>
        <w:t>II</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"_Toc164151053" </w:instrText>
      </w:r>
      <w:r>
        <w:fldChar w:fldCharType="separate"/>
      </w:r>
      <w:r>
        <w:rPr>
          <w:rStyle w:val="32"/>
        </w:rPr>
        <w:t>1  范围</w:t>
      </w:r>
      <w:r>
        <w:tab/>
      </w:r>
      <w:r>
        <w:fldChar w:fldCharType="begin"/>
      </w:r>
      <w:r>
        <w:instrText xml:space="preserve"> PAGEREF _Toc164151053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"_Toc164151054" </w:instrText>
      </w:r>
      <w:r>
        <w:fldChar w:fldCharType="separate"/>
      </w:r>
      <w:r>
        <w:rPr>
          <w:rStyle w:val="32"/>
        </w:rPr>
        <w:t>2  规范性引用文件</w:t>
      </w:r>
      <w:r>
        <w:tab/>
      </w:r>
      <w:r>
        <w:fldChar w:fldCharType="begin"/>
      </w:r>
      <w:r>
        <w:instrText xml:space="preserve"> PAGEREF _Toc164151054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"_Toc164151055" </w:instrText>
      </w:r>
      <w:r>
        <w:fldChar w:fldCharType="separate"/>
      </w:r>
      <w:r>
        <w:rPr>
          <w:rStyle w:val="32"/>
        </w:rPr>
        <w:t>3  术语和定义</w:t>
      </w:r>
      <w:r>
        <w:tab/>
      </w:r>
      <w:r>
        <w:fldChar w:fldCharType="begin"/>
      </w:r>
      <w:r>
        <w:instrText xml:space="preserve"> PAGEREF _Toc164151055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"_Toc164151056" </w:instrText>
      </w:r>
      <w:r>
        <w:fldChar w:fldCharType="separate"/>
      </w:r>
      <w:r>
        <w:rPr>
          <w:rStyle w:val="32"/>
        </w:rPr>
        <w:t>4  园地选择</w:t>
      </w:r>
      <w:r>
        <w:tab/>
      </w:r>
      <w:r>
        <w:fldChar w:fldCharType="begin"/>
      </w:r>
      <w:r>
        <w:instrText xml:space="preserve"> PAGEREF _Toc164151056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"_Toc164151057" </w:instrText>
      </w:r>
      <w:r>
        <w:fldChar w:fldCharType="separate"/>
      </w:r>
      <w:r>
        <w:rPr>
          <w:rStyle w:val="32"/>
        </w:rPr>
        <w:t>5  建园模式</w:t>
      </w:r>
      <w:r>
        <w:tab/>
      </w:r>
      <w:r>
        <w:fldChar w:fldCharType="begin"/>
      </w:r>
      <w:r>
        <w:instrText xml:space="preserve"> PAGEREF _Toc164151057 \h </w:instrText>
      </w:r>
      <w:r>
        <w:fldChar w:fldCharType="separate"/>
      </w:r>
      <w:r>
        <w:t>1</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"_Toc164151058" </w:instrText>
      </w:r>
      <w:r>
        <w:fldChar w:fldCharType="separate"/>
      </w:r>
      <w:r>
        <w:rPr>
          <w:rStyle w:val="32"/>
        </w:rPr>
        <w:t>6  果园定植</w:t>
      </w:r>
      <w:r>
        <w:tab/>
      </w:r>
      <w:r>
        <w:fldChar w:fldCharType="begin"/>
      </w:r>
      <w:r>
        <w:instrText xml:space="preserve"> PAGEREF _Toc164151058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"_Toc164151059" </w:instrText>
      </w:r>
      <w:r>
        <w:fldChar w:fldCharType="separate"/>
      </w:r>
      <w:r>
        <w:rPr>
          <w:rStyle w:val="32"/>
        </w:rPr>
        <w:t>7  树形结构</w:t>
      </w:r>
      <w:r>
        <w:tab/>
      </w:r>
      <w:r>
        <w:fldChar w:fldCharType="begin"/>
      </w:r>
      <w:r>
        <w:instrText xml:space="preserve"> PAGEREF _Toc164151059 \h </w:instrText>
      </w:r>
      <w:r>
        <w:fldChar w:fldCharType="separate"/>
      </w:r>
      <w:r>
        <w:t>2</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"_Toc164151060" </w:instrText>
      </w:r>
      <w:r>
        <w:fldChar w:fldCharType="separate"/>
      </w:r>
      <w:r>
        <w:rPr>
          <w:rStyle w:val="32"/>
        </w:rPr>
        <w:t>8  修剪方法</w:t>
      </w:r>
      <w:r>
        <w:tab/>
      </w:r>
      <w:r>
        <w:fldChar w:fldCharType="begin"/>
      </w:r>
      <w:r>
        <w:instrText xml:space="preserve"> PAGEREF _Toc164151060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"_Toc164151061" </w:instrText>
      </w:r>
      <w:r>
        <w:fldChar w:fldCharType="separate"/>
      </w:r>
      <w:r>
        <w:rPr>
          <w:rStyle w:val="32"/>
        </w:rPr>
        <w:t>9  花果管理</w:t>
      </w:r>
      <w:r>
        <w:tab/>
      </w:r>
      <w:r>
        <w:fldChar w:fldCharType="begin"/>
      </w:r>
      <w:r>
        <w:instrText xml:space="preserve"> PAGEREF _Toc164151061 \h </w:instrText>
      </w:r>
      <w:r>
        <w:fldChar w:fldCharType="separate"/>
      </w:r>
      <w:r>
        <w:t>3</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"_Toc164151062" </w:instrText>
      </w:r>
      <w:r>
        <w:fldChar w:fldCharType="separate"/>
      </w:r>
      <w:r>
        <w:rPr>
          <w:rStyle w:val="32"/>
        </w:rPr>
        <w:t>10  土肥管理</w:t>
      </w:r>
      <w:r>
        <w:tab/>
      </w:r>
      <w:r>
        <w:fldChar w:fldCharType="begin"/>
      </w:r>
      <w:r>
        <w:instrText xml:space="preserve"> PAGEREF _Toc164151062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"_Toc164151063" </w:instrText>
      </w:r>
      <w:r>
        <w:fldChar w:fldCharType="separate"/>
      </w:r>
      <w:r>
        <w:rPr>
          <w:rStyle w:val="32"/>
        </w:rPr>
        <w:t>11  病虫害防治</w:t>
      </w:r>
      <w:r>
        <w:tab/>
      </w:r>
      <w:r>
        <w:fldChar w:fldCharType="begin"/>
      </w:r>
      <w:r>
        <w:instrText xml:space="preserve"> PAGEREF _Toc164151063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"_Toc164151064" </w:instrText>
      </w:r>
      <w:r>
        <w:fldChar w:fldCharType="separate"/>
      </w:r>
      <w:r>
        <w:rPr>
          <w:rStyle w:val="32"/>
        </w:rPr>
        <w:t>12  生产档案</w:t>
      </w:r>
      <w:r>
        <w:tab/>
      </w:r>
      <w:r>
        <w:fldChar w:fldCharType="begin"/>
      </w:r>
      <w:r>
        <w:instrText xml:space="preserve"> PAGEREF _Toc164151064 \h </w:instrText>
      </w:r>
      <w:r>
        <w:fldChar w:fldCharType="separate"/>
      </w:r>
      <w:r>
        <w:t>4</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"_Toc164151065" </w:instrText>
      </w:r>
      <w:r>
        <w:fldChar w:fldCharType="separate"/>
      </w:r>
      <w:r>
        <w:rPr>
          <w:rStyle w:val="32"/>
        </w:rPr>
        <w:t>附录A（资料性）  苹果高光效果园适宜的优良品种</w:t>
      </w:r>
      <w:r>
        <w:tab/>
      </w:r>
      <w:r>
        <w:fldChar w:fldCharType="begin"/>
      </w:r>
      <w:r>
        <w:instrText xml:space="preserve"> PAGEREF _Toc164151065 \h </w:instrText>
      </w:r>
      <w:r>
        <w:fldChar w:fldCharType="separate"/>
      </w:r>
      <w:r>
        <w:t>5</w:t>
      </w:r>
      <w:r>
        <w:fldChar w:fldCharType="end"/>
      </w:r>
      <w:r>
        <w:fldChar w:fldCharType="end"/>
      </w:r>
    </w:p>
    <w:p>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"_Toc164151066" </w:instrText>
      </w:r>
      <w:r>
        <w:fldChar w:fldCharType="separate"/>
      </w:r>
      <w:r>
        <w:rPr>
          <w:rStyle w:val="32"/>
        </w:rPr>
        <w:t>附录B（资料性）  高光效苹果园生产档案</w:t>
      </w:r>
      <w:r>
        <w:tab/>
      </w:r>
      <w:r>
        <w:fldChar w:fldCharType="begin"/>
      </w:r>
      <w:r>
        <w:instrText xml:space="preserve"> PAGEREF _Toc164151066 \h </w:instrText>
      </w:r>
      <w:r>
        <w:fldChar w:fldCharType="separate"/>
      </w:r>
      <w:r>
        <w:t>6</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89"/>
        <w:spacing w:before="900" w:after="468"/>
      </w:pPr>
      <w:bookmarkStart w:id="24" w:name="_Toc164151052"/>
      <w:bookmarkStart w:id="25" w:name="BookMark2"/>
      <w:r>
        <w:rPr>
          <w:spacing w:val="320"/>
        </w:rPr>
        <w:t>前</w:t>
      </w:r>
      <w:r>
        <w:t>言</w:t>
      </w:r>
      <w:bookmarkEnd w:id="21"/>
      <w:bookmarkEnd w:id="22"/>
      <w:bookmarkEnd w:id="23"/>
      <w:bookmarkEnd w:id="24"/>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本文件代替</w:t>
      </w:r>
      <w:bookmarkStart w:id="26" w:name="_Hlk172315141"/>
      <w:r>
        <w:rPr>
          <w:rFonts w:hint="eastAsia"/>
        </w:rPr>
        <w:t>DB14/T</w:t>
      </w:r>
      <w:r>
        <w:t xml:space="preserve"> 933</w:t>
      </w:r>
      <w:r>
        <w:rPr>
          <w:rFonts w:hint="eastAsia"/>
        </w:rPr>
        <w:t>-20</w:t>
      </w:r>
      <w:r>
        <w:t>14</w:t>
      </w:r>
      <w:bookmarkEnd w:id="26"/>
      <w:r>
        <w:rPr>
          <w:rFonts w:hint="eastAsia"/>
        </w:rPr>
        <w:t xml:space="preserve">《高光效苹果园建设技术规程》，与DB14/T </w:t>
      </w:r>
      <w:r>
        <w:t>933</w:t>
      </w:r>
      <w:r>
        <w:rPr>
          <w:rFonts w:hint="eastAsia"/>
        </w:rPr>
        <w:t>—201</w:t>
      </w:r>
      <w:r>
        <w:t>4</w:t>
      </w:r>
      <w:r>
        <w:rPr>
          <w:rFonts w:hint="eastAsia"/>
        </w:rPr>
        <w:t>相比，除结构调整和编辑性改动外，主要技术变化如下：</w:t>
      </w:r>
    </w:p>
    <w:p>
      <w:pPr>
        <w:pStyle w:val="56"/>
        <w:ind w:firstLine="420"/>
      </w:pPr>
      <w:r>
        <w:rPr>
          <w:rFonts w:hint="eastAsia"/>
        </w:rPr>
        <w:t>——删除了“术语和定义”中“苹果高光效树形”内容（</w:t>
      </w:r>
      <w:bookmarkStart w:id="27" w:name="_Hlk172315272"/>
      <w:r>
        <w:rPr>
          <w:rFonts w:hint="eastAsia"/>
        </w:rPr>
        <w:t>见2014年版3.1</w:t>
      </w:r>
      <w:bookmarkEnd w:id="27"/>
      <w:r>
        <w:rPr>
          <w:rFonts w:hint="eastAsia"/>
        </w:rPr>
        <w:t>）；</w:t>
      </w:r>
    </w:p>
    <w:p>
      <w:pPr>
        <w:pStyle w:val="56"/>
        <w:ind w:firstLine="420"/>
      </w:pPr>
      <w:r>
        <w:rPr>
          <w:rFonts w:hint="eastAsia"/>
        </w:rPr>
        <w:t>——更改了“园地选择”中“气候条件”的内容（见</w:t>
      </w:r>
      <w:r>
        <w:t>4.1</w:t>
      </w:r>
      <w:r>
        <w:rPr>
          <w:rFonts w:hint="eastAsia"/>
        </w:rPr>
        <w:t>，</w:t>
      </w:r>
      <w:bookmarkStart w:id="28" w:name="_Hlk172315186"/>
      <w:r>
        <w:rPr>
          <w:rFonts w:hint="eastAsia"/>
        </w:rPr>
        <w:t>201</w:t>
      </w:r>
      <w:r>
        <w:t>4</w:t>
      </w:r>
      <w:r>
        <w:rPr>
          <w:rFonts w:hint="eastAsia"/>
        </w:rPr>
        <w:t>年版</w:t>
      </w:r>
      <w:r>
        <w:t>4.1</w:t>
      </w:r>
      <w:bookmarkEnd w:id="28"/>
      <w:r>
        <w:rPr>
          <w:rFonts w:hint="eastAsia"/>
        </w:rPr>
        <w:t>）；</w:t>
      </w:r>
    </w:p>
    <w:p>
      <w:pPr>
        <w:pStyle w:val="56"/>
        <w:ind w:firstLine="420"/>
      </w:pPr>
      <w:r>
        <w:rPr>
          <w:rFonts w:hint="eastAsia"/>
        </w:rPr>
        <w:t>——更改了“建园模式”中“果园密度”的内容（见</w:t>
      </w:r>
      <w:r>
        <w:t>5.1</w:t>
      </w:r>
      <w:r>
        <w:rPr>
          <w:rFonts w:hint="eastAsia"/>
        </w:rPr>
        <w:t>，201</w:t>
      </w:r>
      <w:r>
        <w:t>4</w:t>
      </w:r>
      <w:r>
        <w:rPr>
          <w:rFonts w:hint="eastAsia"/>
        </w:rPr>
        <w:t>年版</w:t>
      </w:r>
      <w:r>
        <w:t>5.1</w:t>
      </w:r>
      <w:r>
        <w:rPr>
          <w:rFonts w:hint="eastAsia"/>
        </w:rPr>
        <w:t>）；</w:t>
      </w:r>
    </w:p>
    <w:p>
      <w:pPr>
        <w:pStyle w:val="56"/>
        <w:ind w:firstLine="420"/>
      </w:pPr>
      <w:r>
        <w:rPr>
          <w:rFonts w:hint="eastAsia"/>
        </w:rPr>
        <w:t>——增加了“果园定植”的内容（见6）；</w:t>
      </w:r>
    </w:p>
    <w:p>
      <w:pPr>
        <w:pStyle w:val="56"/>
        <w:ind w:firstLine="420"/>
      </w:pPr>
      <w:r>
        <w:rPr>
          <w:rFonts w:hint="eastAsia"/>
        </w:rPr>
        <w:t>——更改了“土肥管理”中“土壤管理”的内容（见</w:t>
      </w:r>
      <w:r>
        <w:t>10</w:t>
      </w:r>
      <w:r>
        <w:rPr>
          <w:rFonts w:hint="eastAsia"/>
        </w:rPr>
        <w:t>.1，201</w:t>
      </w:r>
      <w:r>
        <w:t>6</w:t>
      </w:r>
      <w:r>
        <w:rPr>
          <w:rFonts w:hint="eastAsia"/>
        </w:rPr>
        <w:t>年版</w:t>
      </w:r>
      <w:r>
        <w:t>9</w:t>
      </w:r>
      <w:r>
        <w:rPr>
          <w:rFonts w:hint="eastAsia"/>
        </w:rPr>
        <w:t>.1）；</w:t>
      </w:r>
    </w:p>
    <w:p>
      <w:pPr>
        <w:pStyle w:val="56"/>
        <w:ind w:firstLine="420"/>
      </w:pPr>
      <w:r>
        <w:rPr>
          <w:rFonts w:hint="eastAsia"/>
        </w:rPr>
        <w:t>——删除了附录B中表B.3（见2014年版附录B）；</w:t>
      </w:r>
    </w:p>
    <w:p>
      <w:pPr>
        <w:pStyle w:val="56"/>
        <w:ind w:firstLine="420"/>
      </w:pPr>
      <w:r>
        <w:rPr>
          <w:rFonts w:hint="eastAsia"/>
        </w:rPr>
        <w:t>本文件由山西省农业农村厅提出、组织实施和监督检查。</w:t>
      </w:r>
    </w:p>
    <w:p>
      <w:pPr>
        <w:pStyle w:val="56"/>
        <w:ind w:firstLine="420"/>
      </w:pPr>
      <w:r>
        <w:rPr>
          <w:rFonts w:hint="eastAsia"/>
        </w:rPr>
        <w:t>山西省市场监督管理局对标准的组织实施情况进行监督检查。</w:t>
      </w:r>
    </w:p>
    <w:p>
      <w:pPr>
        <w:pStyle w:val="56"/>
        <w:ind w:firstLine="420"/>
      </w:pPr>
      <w:r>
        <w:rPr>
          <w:rFonts w:hint="eastAsia"/>
        </w:rPr>
        <w:t>本文件由山西省农业标准化技术委员会（SXS/TC19）归口。</w:t>
      </w:r>
    </w:p>
    <w:p>
      <w:pPr>
        <w:pStyle w:val="56"/>
        <w:ind w:firstLine="420"/>
      </w:pPr>
      <w:r>
        <w:rPr>
          <w:rFonts w:hint="eastAsia"/>
        </w:rPr>
        <w:t>本文件起草单位：山西农业大学。</w:t>
      </w:r>
    </w:p>
    <w:p>
      <w:pPr>
        <w:pStyle w:val="56"/>
        <w:ind w:firstLine="420"/>
      </w:pPr>
      <w:r>
        <w:rPr>
          <w:rFonts w:hint="eastAsia"/>
        </w:rPr>
        <w:t>本文件主要起草人：牛自勉、蔚露、谢鹏、李志强、闫万丽。</w:t>
      </w:r>
    </w:p>
    <w:p>
      <w:pPr>
        <w:pStyle w:val="56"/>
        <w:ind w:firstLine="420"/>
      </w:pPr>
      <w:r>
        <w:rPr>
          <w:rFonts w:hint="eastAsia"/>
        </w:rPr>
        <w:t>本文件及其所代替文件的历次版本发布情况为：</w:t>
      </w:r>
    </w:p>
    <w:p>
      <w:pPr>
        <w:pStyle w:val="56"/>
        <w:ind w:firstLine="420"/>
      </w:pPr>
      <w:r>
        <w:rPr>
          <w:rFonts w:hint="eastAsia"/>
        </w:rPr>
        <w:t>——201</w:t>
      </w:r>
      <w:r>
        <w:t>4</w:t>
      </w:r>
      <w:r>
        <w:rPr>
          <w:rFonts w:hint="eastAsia"/>
        </w:rPr>
        <w:t>年首次发布为</w:t>
      </w:r>
      <w:r>
        <w:t>DB14/T 933</w:t>
      </w:r>
      <w:r>
        <w:rPr>
          <w:rFonts w:hint="eastAsia"/>
        </w:rPr>
        <w:t>-</w:t>
      </w:r>
      <w:r>
        <w:t>2014</w:t>
      </w:r>
      <w:r>
        <w:rPr>
          <w:rFonts w:hint="eastAsia"/>
        </w:rPr>
        <w:t>。</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bookmarkStart w:id="29" w:name="_Hlk172315799"/>
      <w:r>
        <w:rPr>
          <w:rFonts w:hint="eastAsia"/>
        </w:rPr>
        <w:t>——本次为第一次修订。</w:t>
      </w:r>
    </w:p>
    <w:bookmarkEnd w:id="25"/>
    <w:bookmarkEnd w:id="29"/>
    <w:p>
      <w:pPr>
        <w:spacing w:line="20" w:lineRule="exact"/>
        <w:jc w:val="center"/>
        <w:rPr>
          <w:rFonts w:hint="eastAsia" w:ascii="黑体" w:hAnsi="黑体" w:eastAsia="黑体"/>
          <w:sz w:val="32"/>
          <w:szCs w:val="32"/>
        </w:rPr>
      </w:pPr>
      <w:bookmarkStart w:id="30"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2BA45938A2A7463EA9397F8A293D3BBF"/>
        </w:placeholder>
      </w:sdtPr>
      <w:sdtContent>
        <w:p>
          <w:pPr>
            <w:pStyle w:val="177"/>
            <w:spacing w:before="3" w:beforeLines="1" w:after="686" w:afterLines="220"/>
            <w:rPr>
              <w:rFonts w:hint="eastAsia"/>
            </w:rPr>
          </w:pPr>
          <w:bookmarkStart w:id="31" w:name="NEW_STAND_NAME"/>
          <w:r>
            <w:rPr>
              <w:rFonts w:hint="eastAsia"/>
            </w:rPr>
            <w:t>高光效苹果园建设技术规程</w:t>
          </w:r>
        </w:p>
      </w:sdtContent>
    </w:sdt>
    <w:bookmarkEnd w:id="31"/>
    <w:p>
      <w:pPr>
        <w:pStyle w:val="104"/>
        <w:spacing w:before="312" w:after="312"/>
      </w:pPr>
      <w:bookmarkStart w:id="32" w:name="_Toc164151053"/>
      <w:bookmarkStart w:id="33" w:name="_Toc26986530"/>
      <w:bookmarkStart w:id="34" w:name="_Toc24884211"/>
      <w:bookmarkStart w:id="35" w:name="_Toc164150978"/>
      <w:bookmarkStart w:id="36" w:name="_Toc26718930"/>
      <w:bookmarkStart w:id="37" w:name="_Toc17233325"/>
      <w:bookmarkStart w:id="38" w:name="_Toc26648465"/>
      <w:bookmarkStart w:id="39" w:name="_Toc26986771"/>
      <w:bookmarkStart w:id="40" w:name="_Toc156231916"/>
      <w:bookmarkStart w:id="41" w:name="_Toc17233333"/>
      <w:bookmarkStart w:id="42" w:name="_Toc156231882"/>
      <w:bookmarkStart w:id="43" w:name="_Toc24884218"/>
      <w:bookmarkStart w:id="44" w:name="_Toc97191423"/>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p>
    <w:p>
      <w:pPr>
        <w:pStyle w:val="56"/>
        <w:ind w:firstLine="420"/>
      </w:pPr>
      <w:bookmarkStart w:id="45" w:name="_Toc24884219"/>
      <w:bookmarkStart w:id="46" w:name="_Toc26648466"/>
      <w:bookmarkStart w:id="47" w:name="_Toc24884212"/>
      <w:bookmarkStart w:id="48" w:name="_Toc17233334"/>
      <w:bookmarkStart w:id="49" w:name="_Toc17233326"/>
      <w:r>
        <w:rPr>
          <w:rFonts w:hint="eastAsia"/>
        </w:rPr>
        <w:t>本文件规定了高光效苹果园建设的术语和定义、园地选择、建园模式、果园定植、树形结构、整形修剪、花果管理、土肥管理、病虫害防治、生产档案的基本原则和技术方法。</w:t>
      </w:r>
    </w:p>
    <w:p>
      <w:pPr>
        <w:pStyle w:val="56"/>
        <w:ind w:firstLine="420"/>
      </w:pPr>
      <w:r>
        <w:rPr>
          <w:rFonts w:hint="eastAsia"/>
        </w:rPr>
        <w:t>本文件适用于山西省主产区苹果乔化果园生产工作。</w:t>
      </w:r>
    </w:p>
    <w:p>
      <w:pPr>
        <w:pStyle w:val="104"/>
        <w:spacing w:before="312" w:after="312"/>
      </w:pPr>
      <w:bookmarkStart w:id="50" w:name="_Toc97191424"/>
      <w:bookmarkStart w:id="51" w:name="_Toc156231883"/>
      <w:bookmarkStart w:id="52" w:name="_Toc26986531"/>
      <w:bookmarkStart w:id="53" w:name="_Toc164150979"/>
      <w:bookmarkStart w:id="54" w:name="_Toc156231917"/>
      <w:bookmarkStart w:id="55" w:name="_Toc26718931"/>
      <w:bookmarkStart w:id="56" w:name="_Toc26986772"/>
      <w:bookmarkStart w:id="57" w:name="_Toc164151054"/>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24BC650B2B7946549816C6A16ED9EF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rPr>
          <w:rFonts w:hint="eastAsia" w:hAnsi="宋体"/>
        </w:rPr>
      </w:pPr>
      <w:r>
        <w:rPr>
          <w:rFonts w:hAnsi="宋体"/>
        </w:rPr>
        <w:t>NY/T 441</w:t>
      </w:r>
      <w:r>
        <w:rPr>
          <w:rFonts w:hint="eastAsia" w:hAnsi="宋体"/>
        </w:rPr>
        <w:t xml:space="preserve">  </w:t>
      </w:r>
      <w:r>
        <w:rPr>
          <w:rFonts w:hAnsi="宋体"/>
        </w:rPr>
        <w:t>苹果生产技术规程</w:t>
      </w:r>
    </w:p>
    <w:p>
      <w:pPr>
        <w:pStyle w:val="230"/>
        <w:rPr>
          <w:rFonts w:hint="eastAsia" w:hAnsi="宋体"/>
        </w:rPr>
      </w:pPr>
      <w:r>
        <w:rPr>
          <w:rFonts w:hAnsi="宋体"/>
        </w:rPr>
        <w:t xml:space="preserve">NY/T </w:t>
      </w:r>
      <w:r>
        <w:rPr>
          <w:rFonts w:hint="eastAsia" w:hAnsi="宋体"/>
        </w:rPr>
        <w:t>1082  黄土高原苹果生产技术规程</w:t>
      </w:r>
    </w:p>
    <w:p>
      <w:pPr>
        <w:pStyle w:val="230"/>
        <w:rPr>
          <w:rFonts w:hint="eastAsia" w:hAnsi="宋体"/>
        </w:rPr>
      </w:pPr>
      <w:r>
        <w:rPr>
          <w:rFonts w:hAnsi="宋体"/>
        </w:rPr>
        <w:t xml:space="preserve">NY/T </w:t>
      </w:r>
      <w:r>
        <w:rPr>
          <w:rFonts w:hint="eastAsia" w:hAnsi="宋体"/>
        </w:rPr>
        <w:t>1084  红富士苹果生产技术规程</w:t>
      </w:r>
    </w:p>
    <w:p>
      <w:pPr>
        <w:pStyle w:val="230"/>
        <w:rPr>
          <w:rFonts w:hint="eastAsia" w:hAnsi="宋体"/>
        </w:rPr>
      </w:pPr>
      <w:r>
        <w:rPr>
          <w:rFonts w:hint="eastAsia" w:hAnsi="宋体"/>
        </w:rPr>
        <w:t>NY/T 1505  水果套袋技术规程 苹果</w:t>
      </w:r>
    </w:p>
    <w:p>
      <w:pPr>
        <w:pStyle w:val="230"/>
      </w:pPr>
      <w:r>
        <w:rPr>
          <w:rFonts w:hint="eastAsia"/>
        </w:rPr>
        <w:t>DB14/T 806  苹果蜜蜂授粉技术规程</w:t>
      </w:r>
    </w:p>
    <w:p>
      <w:pPr>
        <w:pStyle w:val="230"/>
      </w:pPr>
      <w:r>
        <w:rPr>
          <w:rFonts w:hint="eastAsia"/>
        </w:rPr>
        <w:t>DB</w:t>
      </w:r>
      <w:r>
        <w:t xml:space="preserve">14/T 1640 </w:t>
      </w:r>
      <w:r>
        <w:rPr>
          <w:rFonts w:hint="eastAsia"/>
        </w:rPr>
        <w:t>苹果病虫害农药减量控制技术规程</w:t>
      </w:r>
    </w:p>
    <w:p>
      <w:pPr>
        <w:pStyle w:val="104"/>
        <w:spacing w:before="312" w:after="312"/>
      </w:pPr>
      <w:bookmarkStart w:id="58" w:name="_Toc97191425"/>
      <w:bookmarkStart w:id="59" w:name="_Toc156231918"/>
      <w:bookmarkStart w:id="60" w:name="_Toc156231884"/>
      <w:bookmarkStart w:id="61" w:name="_Toc164150980"/>
      <w:bookmarkStart w:id="62" w:name="_Toc164151055"/>
      <w:r>
        <w:rPr>
          <w:rFonts w:hint="eastAsia"/>
          <w:szCs w:val="21"/>
        </w:rPr>
        <w:t>术语和定义</w:t>
      </w:r>
      <w:bookmarkEnd w:id="58"/>
      <w:bookmarkEnd w:id="59"/>
      <w:bookmarkEnd w:id="60"/>
      <w:bookmarkEnd w:id="61"/>
      <w:bookmarkEnd w:id="62"/>
    </w:p>
    <w:p>
      <w:pPr>
        <w:pStyle w:val="56"/>
        <w:ind w:firstLine="420"/>
      </w:pPr>
      <w:bookmarkStart w:id="63" w:name="_Toc26986532"/>
      <w:bookmarkEnd w:id="63"/>
      <w:sdt>
        <w:sdtPr>
          <w:id w:val="-1909835108"/>
          <w:placeholder>
            <w:docPart w:val="3ACC7CF1E6A44693966E4DF4DC6E19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t>下列术语和定义适用于本文件。</w:t>
          </w:r>
        </w:sdtContent>
      </w:sdt>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高光效苹果园</w:t>
      </w:r>
    </w:p>
    <w:p>
      <w:pPr>
        <w:pStyle w:val="56"/>
        <w:spacing w:before="156" w:beforeLines="50"/>
        <w:ind w:firstLine="420"/>
      </w:pPr>
      <w:r>
        <w:rPr>
          <w:rFonts w:hint="eastAsia"/>
        </w:rPr>
        <w:t>以苹果新品种应用、高光效树形修剪、花果精细管理等内容为核心，结合果园动态密度调节和阶段间伐技术而建立的果园模式。</w:t>
      </w:r>
    </w:p>
    <w:p>
      <w:pPr>
        <w:pStyle w:val="104"/>
        <w:spacing w:before="312" w:after="312"/>
      </w:pPr>
      <w:bookmarkStart w:id="64" w:name="_Toc156231887"/>
      <w:bookmarkStart w:id="65" w:name="_Toc164151056"/>
      <w:bookmarkStart w:id="66" w:name="_Toc164150981"/>
      <w:bookmarkStart w:id="67" w:name="_Toc156231919"/>
      <w:r>
        <w:rPr>
          <w:rFonts w:hint="eastAsia"/>
        </w:rPr>
        <w:t>园地选择</w:t>
      </w:r>
      <w:bookmarkEnd w:id="64"/>
      <w:bookmarkEnd w:id="65"/>
      <w:bookmarkEnd w:id="66"/>
      <w:bookmarkEnd w:id="67"/>
    </w:p>
    <w:p>
      <w:pPr>
        <w:pStyle w:val="105"/>
        <w:spacing w:before="156" w:after="156"/>
      </w:pPr>
      <w:bookmarkStart w:id="68" w:name="_Toc156231888"/>
      <w:r>
        <w:rPr>
          <w:rFonts w:hint="eastAsia"/>
        </w:rPr>
        <w:t>气候条件</w:t>
      </w:r>
      <w:bookmarkEnd w:id="68"/>
    </w:p>
    <w:p>
      <w:pPr>
        <w:pStyle w:val="56"/>
        <w:ind w:firstLine="420"/>
      </w:pPr>
      <w:r>
        <w:rPr>
          <w:rFonts w:hint="eastAsia"/>
        </w:rPr>
        <w:t>果园年平均气温8.5 ℃～13.5 ℃，年最低气温不低于-28 ℃，年日照大于2600 h，年降雨量在400 mm～900 mm。其它条件参照NY/T 1082、NY/T 1084规定执行。</w:t>
      </w:r>
    </w:p>
    <w:p>
      <w:pPr>
        <w:pStyle w:val="105"/>
        <w:spacing w:before="156" w:after="156"/>
      </w:pPr>
      <w:bookmarkStart w:id="69" w:name="_Toc156231889"/>
      <w:r>
        <w:rPr>
          <w:rFonts w:hint="eastAsia"/>
        </w:rPr>
        <w:t>环境条件</w:t>
      </w:r>
      <w:bookmarkEnd w:id="69"/>
    </w:p>
    <w:p>
      <w:pPr>
        <w:pStyle w:val="56"/>
        <w:ind w:firstLine="420"/>
      </w:pPr>
      <w:r>
        <w:rPr>
          <w:rFonts w:hint="eastAsia"/>
        </w:rPr>
        <w:t>果园立地宜为丘陵坡地或台地，海拔高度500 m～1200 m。果园土壤为壤土或砂壤土，土层深厚，排水良好，pH值在6.5～8.3之间，有机质含量在1%以上。其它条件参照NY/T 441、NY/T 1082规定执行。</w:t>
      </w:r>
    </w:p>
    <w:p>
      <w:pPr>
        <w:pStyle w:val="104"/>
        <w:spacing w:before="312" w:after="312"/>
      </w:pPr>
      <w:bookmarkStart w:id="70" w:name="_Toc164151057"/>
      <w:bookmarkStart w:id="71" w:name="_Toc156231890"/>
      <w:bookmarkStart w:id="72" w:name="_Toc164150982"/>
      <w:bookmarkStart w:id="73" w:name="_Toc156231920"/>
      <w:r>
        <w:rPr>
          <w:rFonts w:hint="eastAsia"/>
        </w:rPr>
        <w:t>建园模式</w:t>
      </w:r>
      <w:bookmarkEnd w:id="70"/>
      <w:bookmarkEnd w:id="71"/>
      <w:bookmarkEnd w:id="72"/>
      <w:bookmarkEnd w:id="73"/>
    </w:p>
    <w:p>
      <w:pPr>
        <w:pStyle w:val="105"/>
        <w:spacing w:before="156" w:after="156"/>
      </w:pPr>
      <w:bookmarkStart w:id="74" w:name="_Toc156231891"/>
      <w:r>
        <w:rPr>
          <w:rFonts w:hint="eastAsia"/>
        </w:rPr>
        <w:t>果园密度</w:t>
      </w:r>
      <w:bookmarkEnd w:id="74"/>
    </w:p>
    <w:p>
      <w:pPr>
        <w:pStyle w:val="56"/>
        <w:ind w:firstLine="420"/>
      </w:pPr>
      <w:r>
        <w:rPr>
          <w:rFonts w:hint="eastAsia"/>
        </w:rPr>
        <w:t>果园密度为动态密度，并通过隔株和隔行分阶段间伐达到适宜密度。</w:t>
      </w:r>
    </w:p>
    <w:p>
      <w:pPr>
        <w:pStyle w:val="56"/>
        <w:ind w:firstLine="420"/>
      </w:pPr>
      <w:r>
        <w:rPr>
          <w:rFonts w:hint="eastAsia"/>
        </w:rPr>
        <w:t>海拔高度600 m以下，年无霜期190天以上的果园，果园株行距如下：幼树期：3.5 m×4 m，结果期： 4 m×7 m，盛果期：7 m×8 m。</w:t>
      </w:r>
    </w:p>
    <w:p>
      <w:pPr>
        <w:pStyle w:val="56"/>
        <w:ind w:firstLine="420"/>
      </w:pPr>
      <w:r>
        <w:rPr>
          <w:rFonts w:hint="eastAsia"/>
        </w:rPr>
        <w:t>海拔高度600～1 200 m，年无霜期190天以下的果园，果园株行距如下：幼树期：3 m×4 m，结果期： 4 m×6 m，盛果期：6 m×8 m。</w:t>
      </w:r>
    </w:p>
    <w:p>
      <w:pPr>
        <w:pStyle w:val="105"/>
        <w:spacing w:before="156" w:after="156"/>
      </w:pPr>
      <w:bookmarkStart w:id="75" w:name="_Toc156231892"/>
      <w:r>
        <w:rPr>
          <w:rFonts w:hint="eastAsia"/>
        </w:rPr>
        <w:t>砧木选择</w:t>
      </w:r>
      <w:bookmarkEnd w:id="75"/>
    </w:p>
    <w:p>
      <w:pPr>
        <w:pStyle w:val="56"/>
        <w:ind w:firstLine="420"/>
      </w:pPr>
      <w:r>
        <w:rPr>
          <w:rFonts w:hint="eastAsia"/>
        </w:rPr>
        <w:t>适宜的苹果砧木为乔化砧木,如八棱海棠、武乡海棠等；也可嫁接SH系、SC系矮化中间砧木组合。</w:t>
      </w:r>
    </w:p>
    <w:p>
      <w:pPr>
        <w:pStyle w:val="105"/>
        <w:spacing w:before="156" w:after="156"/>
      </w:pPr>
      <w:bookmarkStart w:id="76" w:name="_Toc156231893"/>
      <w:r>
        <w:rPr>
          <w:rFonts w:hint="eastAsia"/>
        </w:rPr>
        <w:t>品种选择</w:t>
      </w:r>
      <w:bookmarkEnd w:id="76"/>
    </w:p>
    <w:p>
      <w:pPr>
        <w:pStyle w:val="56"/>
        <w:ind w:firstLine="420"/>
      </w:pPr>
      <w:r>
        <w:rPr>
          <w:rFonts w:hint="eastAsia"/>
        </w:rPr>
        <w:t>适宜的苹果品种为乔化长枝型品种。通常要求苹果品种枝条柔软，结果后自然下垂并形成长轴结果枝体系。山西省中南部苹果产区适宜苹果高光效树形培养的苹果优良品种包括着色富士系、嘎拉系、金冠系、凉香系等，具体品种见附录A。</w:t>
      </w:r>
    </w:p>
    <w:p>
      <w:pPr>
        <w:pStyle w:val="104"/>
        <w:spacing w:before="312" w:after="312"/>
      </w:pPr>
      <w:bookmarkStart w:id="77" w:name="_Toc164150983"/>
      <w:bookmarkStart w:id="78" w:name="_Toc164151058"/>
      <w:bookmarkStart w:id="79" w:name="_Toc156231921"/>
      <w:bookmarkStart w:id="80" w:name="_Toc156231894"/>
      <w:r>
        <w:rPr>
          <w:rFonts w:hint="eastAsia"/>
        </w:rPr>
        <w:t>果园定植</w:t>
      </w:r>
      <w:bookmarkEnd w:id="77"/>
      <w:bookmarkEnd w:id="78"/>
      <w:bookmarkEnd w:id="79"/>
      <w:bookmarkEnd w:id="80"/>
    </w:p>
    <w:p>
      <w:pPr>
        <w:pStyle w:val="105"/>
        <w:spacing w:before="156" w:after="156"/>
      </w:pPr>
      <w:bookmarkStart w:id="81" w:name="_Toc156231895"/>
      <w:r>
        <w:rPr>
          <w:rFonts w:hint="eastAsia"/>
        </w:rPr>
        <w:t>定植时期</w:t>
      </w:r>
      <w:bookmarkEnd w:id="81"/>
    </w:p>
    <w:p>
      <w:pPr>
        <w:pStyle w:val="56"/>
        <w:ind w:firstLine="420"/>
      </w:pPr>
      <w:r>
        <w:rPr>
          <w:rFonts w:hint="eastAsia"/>
        </w:rPr>
        <w:t>根据当地气候特点可选用秋冬季定植或春季定植。高海拔丘陵果园秋冬季定植后，需进行越冬埋土或缠膜防护处理。</w:t>
      </w:r>
    </w:p>
    <w:p>
      <w:pPr>
        <w:pStyle w:val="105"/>
        <w:spacing w:before="156" w:after="156"/>
      </w:pPr>
      <w:bookmarkStart w:id="82" w:name="_Toc156231896"/>
      <w:r>
        <w:rPr>
          <w:rFonts w:hint="eastAsia"/>
        </w:rPr>
        <w:t>定植方法</w:t>
      </w:r>
      <w:bookmarkEnd w:id="82"/>
    </w:p>
    <w:p>
      <w:pPr>
        <w:pStyle w:val="56"/>
        <w:ind w:firstLine="420"/>
      </w:pPr>
      <w:r>
        <w:rPr>
          <w:rFonts w:hint="eastAsia"/>
        </w:rPr>
        <w:t>定植时苗木基部接口露出地面5 cm，苗木根系覆土深度10 cm～15 cm。定植后12 h内及时灌水，灌水后2 d～3 d 土壤表层泛黄后扶正苗木，平整树盘，并覆膜保墒。</w:t>
      </w:r>
    </w:p>
    <w:p>
      <w:pPr>
        <w:pStyle w:val="105"/>
        <w:spacing w:before="156" w:after="156"/>
      </w:pPr>
      <w:bookmarkStart w:id="83" w:name="_Toc156231897"/>
      <w:r>
        <w:rPr>
          <w:rFonts w:hint="eastAsia"/>
        </w:rPr>
        <w:t>定干时间</w:t>
      </w:r>
      <w:bookmarkEnd w:id="83"/>
    </w:p>
    <w:p>
      <w:pPr>
        <w:pStyle w:val="56"/>
        <w:ind w:firstLine="420"/>
      </w:pPr>
      <w:r>
        <w:rPr>
          <w:rFonts w:hint="eastAsia"/>
        </w:rPr>
        <w:t>定植后1 d～3 d及时定干。</w:t>
      </w:r>
    </w:p>
    <w:p>
      <w:pPr>
        <w:pStyle w:val="105"/>
        <w:spacing w:before="156" w:after="156"/>
      </w:pPr>
      <w:bookmarkStart w:id="84" w:name="_Toc156231898"/>
      <w:r>
        <w:rPr>
          <w:rFonts w:hint="eastAsia"/>
        </w:rPr>
        <w:t>定干高度</w:t>
      </w:r>
      <w:bookmarkEnd w:id="84"/>
    </w:p>
    <w:p>
      <w:pPr>
        <w:pStyle w:val="56"/>
        <w:ind w:firstLine="420"/>
      </w:pPr>
      <w:r>
        <w:rPr>
          <w:rFonts w:hint="eastAsia"/>
        </w:rPr>
        <w:t>2～3年生大苗定干高度80 cm～90 cm。</w:t>
      </w:r>
    </w:p>
    <w:p>
      <w:pPr>
        <w:pStyle w:val="104"/>
        <w:spacing w:before="312" w:after="312"/>
      </w:pPr>
      <w:bookmarkStart w:id="85" w:name="_Toc156231922"/>
      <w:bookmarkStart w:id="86" w:name="_Toc164150984"/>
      <w:bookmarkStart w:id="87" w:name="_Toc164151059"/>
      <w:bookmarkStart w:id="88" w:name="_Toc156231899"/>
      <w:r>
        <w:rPr>
          <w:rFonts w:hint="eastAsia"/>
        </w:rPr>
        <w:t>树形结构</w:t>
      </w:r>
      <w:bookmarkEnd w:id="85"/>
      <w:bookmarkEnd w:id="86"/>
      <w:bookmarkEnd w:id="87"/>
      <w:bookmarkEnd w:id="88"/>
    </w:p>
    <w:p>
      <w:pPr>
        <w:pStyle w:val="105"/>
        <w:spacing w:before="156" w:after="156"/>
      </w:pPr>
      <w:bookmarkStart w:id="89" w:name="_Toc156231900"/>
      <w:r>
        <w:rPr>
          <w:rFonts w:hint="eastAsia"/>
        </w:rPr>
        <w:t>一般要求</w:t>
      </w:r>
      <w:bookmarkEnd w:id="89"/>
    </w:p>
    <w:p>
      <w:pPr>
        <w:pStyle w:val="56"/>
        <w:ind w:firstLine="420"/>
      </w:pPr>
      <w:r>
        <w:rPr>
          <w:rFonts w:hint="eastAsia"/>
        </w:rPr>
        <w:t>根据果园地形地貌、土壤肥力、光照环境、树体长势等条件选择不同干高类型的苹果开心树形。通常随着果园海拔高度增加，成龄树的树干高度逐步降低。</w:t>
      </w:r>
    </w:p>
    <w:p>
      <w:pPr>
        <w:pStyle w:val="105"/>
        <w:spacing w:before="156" w:after="156"/>
      </w:pPr>
      <w:bookmarkStart w:id="90" w:name="_Toc156231901"/>
      <w:r>
        <w:rPr>
          <w:rFonts w:hint="eastAsia"/>
        </w:rPr>
        <w:t>树形模式</w:t>
      </w:r>
      <w:bookmarkEnd w:id="90"/>
    </w:p>
    <w:p>
      <w:pPr>
        <w:pStyle w:val="65"/>
        <w:spacing w:before="156" w:after="156"/>
      </w:pPr>
      <w:r>
        <w:rPr>
          <w:rFonts w:hint="eastAsia"/>
        </w:rPr>
        <w:t>低干开心树形</w:t>
      </w:r>
    </w:p>
    <w:p>
      <w:pPr>
        <w:pStyle w:val="56"/>
        <w:ind w:firstLine="420"/>
      </w:pPr>
      <w:r>
        <w:rPr>
          <w:rFonts w:hint="eastAsia"/>
        </w:rPr>
        <w:t>树干高度1.2 m～1.5 m，树高2.5 m，永久性主枝数量3～5个，主枝开张角度65</w:t>
      </w:r>
      <w:r>
        <w:rPr>
          <w:rFonts w:hint="eastAsia" w:hAnsi="宋体"/>
        </w:rPr>
        <w:t>°</w:t>
      </w:r>
      <w:r>
        <w:rPr>
          <w:rFonts w:hint="eastAsia"/>
        </w:rPr>
        <w:t>～80</w:t>
      </w:r>
      <w:r>
        <w:rPr>
          <w:rFonts w:hint="eastAsia" w:hAnsi="宋体"/>
        </w:rPr>
        <w:t>°</w:t>
      </w:r>
      <w:r>
        <w:rPr>
          <w:rFonts w:hint="eastAsia"/>
        </w:rPr>
        <w:t>，枝展5 m～6 m，骨干枝水平延伸、结果枝自然下垂的结构模式。</w:t>
      </w:r>
    </w:p>
    <w:p>
      <w:pPr>
        <w:pStyle w:val="65"/>
        <w:spacing w:before="156" w:after="156"/>
      </w:pPr>
      <w:r>
        <w:rPr>
          <w:rFonts w:hint="eastAsia"/>
        </w:rPr>
        <w:t>中干开心树形</w:t>
      </w:r>
    </w:p>
    <w:p>
      <w:pPr>
        <w:pStyle w:val="56"/>
        <w:ind w:firstLine="420"/>
      </w:pPr>
      <w:r>
        <w:rPr>
          <w:rFonts w:hint="eastAsia"/>
        </w:rPr>
        <w:t>树干高度1.6 m～1.8 m，树高3 m，永久性主枝数量3～4个，主枝开张角度70</w:t>
      </w:r>
      <w:r>
        <w:rPr>
          <w:rFonts w:hint="eastAsia" w:hAnsi="宋体"/>
        </w:rPr>
        <w:t>°</w:t>
      </w:r>
      <w:r>
        <w:rPr>
          <w:rFonts w:hint="eastAsia"/>
        </w:rPr>
        <w:t>～80</w:t>
      </w:r>
      <w:r>
        <w:rPr>
          <w:rFonts w:hint="eastAsia" w:hAnsi="宋体"/>
        </w:rPr>
        <w:t>°</w:t>
      </w:r>
      <w:r>
        <w:rPr>
          <w:rFonts w:hint="eastAsia"/>
        </w:rPr>
        <w:t>，枝展5 m～6 m，骨干枝水平延伸、结果枝自然下垂的结构模式。</w:t>
      </w:r>
    </w:p>
    <w:p>
      <w:pPr>
        <w:pStyle w:val="65"/>
        <w:spacing w:before="156" w:after="156"/>
      </w:pPr>
      <w:r>
        <w:rPr>
          <w:rFonts w:hint="eastAsia"/>
        </w:rPr>
        <w:t>高干开心树形</w:t>
      </w:r>
    </w:p>
    <w:p>
      <w:pPr>
        <w:pStyle w:val="56"/>
        <w:ind w:firstLine="420"/>
      </w:pPr>
      <w:r>
        <w:rPr>
          <w:rFonts w:hint="eastAsia"/>
        </w:rPr>
        <w:t>树干高度1.9 m～2.1 m，树高3.2 m～3.5 m，永久性主枝数量3～4个，主枝开张角度75</w:t>
      </w:r>
      <w:r>
        <w:rPr>
          <w:rFonts w:hint="eastAsia" w:hAnsi="宋体"/>
        </w:rPr>
        <w:t>°</w:t>
      </w:r>
      <w:r>
        <w:rPr>
          <w:rFonts w:hint="eastAsia"/>
        </w:rPr>
        <w:t>～85</w:t>
      </w:r>
      <w:r>
        <w:rPr>
          <w:rFonts w:hint="eastAsia" w:hAnsi="宋体"/>
        </w:rPr>
        <w:t>°</w:t>
      </w:r>
      <w:r>
        <w:rPr>
          <w:rFonts w:hint="eastAsia"/>
        </w:rPr>
        <w:t>，枝展5 m～5.5 m，骨干枝水平延伸、结果枝自然下垂的结构模式。</w:t>
      </w:r>
    </w:p>
    <w:p>
      <w:pPr>
        <w:pStyle w:val="104"/>
        <w:spacing w:before="312" w:after="312"/>
      </w:pPr>
      <w:bookmarkStart w:id="91" w:name="_Toc156231902"/>
      <w:bookmarkStart w:id="92" w:name="_Toc156231923"/>
      <w:bookmarkStart w:id="93" w:name="_Toc164150985"/>
      <w:bookmarkStart w:id="94" w:name="_Toc164151060"/>
      <w:r>
        <w:rPr>
          <w:rFonts w:hint="eastAsia"/>
        </w:rPr>
        <w:t>修剪</w:t>
      </w:r>
      <w:bookmarkEnd w:id="91"/>
      <w:bookmarkEnd w:id="92"/>
      <w:r>
        <w:rPr>
          <w:rFonts w:hint="eastAsia"/>
        </w:rPr>
        <w:t>方法</w:t>
      </w:r>
      <w:bookmarkEnd w:id="93"/>
      <w:bookmarkEnd w:id="94"/>
    </w:p>
    <w:p>
      <w:pPr>
        <w:pStyle w:val="105"/>
        <w:spacing w:before="156" w:after="156"/>
      </w:pPr>
      <w:bookmarkStart w:id="95" w:name="_Toc156231903"/>
      <w:r>
        <w:rPr>
          <w:rFonts w:hint="eastAsia"/>
        </w:rPr>
        <w:t>一般要求</w:t>
      </w:r>
      <w:bookmarkEnd w:id="95"/>
    </w:p>
    <w:p>
      <w:pPr>
        <w:pStyle w:val="56"/>
        <w:ind w:firstLine="420"/>
      </w:pPr>
      <w:r>
        <w:rPr>
          <w:rFonts w:hint="eastAsia"/>
        </w:rPr>
        <w:t>幼树阶段采用小冠分层形或自由纺锤形整形修剪，进入结果期后通过提干、落头、选留主枝等整形修剪技术运用，逐步将直立树形转变为水平叶幕树形，树冠叶幕由多层结构变为单层水平叶幕，结果枝组也逐步转变为长轴结果体系。</w:t>
      </w:r>
    </w:p>
    <w:p>
      <w:pPr>
        <w:pStyle w:val="105"/>
        <w:spacing w:before="156" w:after="156"/>
      </w:pPr>
      <w:bookmarkStart w:id="96" w:name="_Toc156231904"/>
      <w:r>
        <w:rPr>
          <w:rFonts w:hint="eastAsia"/>
        </w:rPr>
        <w:t>整形修剪方法</w:t>
      </w:r>
      <w:bookmarkEnd w:id="96"/>
    </w:p>
    <w:p>
      <w:pPr>
        <w:pStyle w:val="65"/>
        <w:spacing w:before="156" w:after="156"/>
      </w:pPr>
      <w:r>
        <w:rPr>
          <w:rFonts w:hint="eastAsia"/>
        </w:rPr>
        <w:t>提干</w:t>
      </w:r>
    </w:p>
    <w:p>
      <w:pPr>
        <w:pStyle w:val="56"/>
        <w:ind w:firstLine="420"/>
      </w:pPr>
      <w:r>
        <w:rPr>
          <w:rFonts w:hint="eastAsia"/>
        </w:rPr>
        <w:t>树龄在6～8年生时第一次提干，提干高度达到永久树干高度的70%左右。树龄在10～15年生时第二次提干，提干高度达到规定指标。</w:t>
      </w:r>
    </w:p>
    <w:p>
      <w:pPr>
        <w:pStyle w:val="65"/>
        <w:spacing w:before="156" w:after="156"/>
      </w:pPr>
      <w:r>
        <w:rPr>
          <w:rFonts w:hint="eastAsia"/>
        </w:rPr>
        <w:t>落头</w:t>
      </w:r>
    </w:p>
    <w:p>
      <w:pPr>
        <w:pStyle w:val="56"/>
        <w:ind w:firstLine="420"/>
      </w:pPr>
      <w:r>
        <w:rPr>
          <w:rFonts w:hint="eastAsia"/>
        </w:rPr>
        <w:t>树龄在7～8年生时第一次落头，落头高度比永久树高出60 cm～100 cm。树龄在12～15年生时第二次落头，树高达到规定指标。</w:t>
      </w:r>
    </w:p>
    <w:p>
      <w:pPr>
        <w:pStyle w:val="65"/>
        <w:spacing w:before="156" w:after="156"/>
      </w:pPr>
      <w:r>
        <w:rPr>
          <w:rFonts w:hint="eastAsia"/>
        </w:rPr>
        <w:t>选留永久性主枝</w:t>
      </w:r>
    </w:p>
    <w:p>
      <w:pPr>
        <w:pStyle w:val="56"/>
        <w:ind w:firstLine="420"/>
      </w:pPr>
      <w:r>
        <w:rPr>
          <w:rFonts w:hint="eastAsia"/>
        </w:rPr>
        <w:t>在永久树干高度和永久树高的范围内，选择3～5个永久性主枝，并参照树形结构中规定的角度进行拉枝整形。永久性主枝为扇形结构，每个主枝保留3～6个典型侧生结果枝，并在侧生结果枝上进一步选留长轴结果枝。</w:t>
      </w:r>
    </w:p>
    <w:p>
      <w:pPr>
        <w:pStyle w:val="65"/>
        <w:spacing w:before="156" w:after="156"/>
      </w:pPr>
      <w:r>
        <w:rPr>
          <w:rFonts w:hint="eastAsia"/>
        </w:rPr>
        <w:t>长轴结果枝修剪与更新</w:t>
      </w:r>
    </w:p>
    <w:p>
      <w:pPr>
        <w:pStyle w:val="56"/>
        <w:ind w:firstLine="420"/>
      </w:pPr>
      <w:r>
        <w:rPr>
          <w:rFonts w:hint="eastAsia"/>
        </w:rPr>
        <w:t>主要采用甩放、拿枝与疏枝的修剪方法培养结果枝组。长轴结果枝组由背上斜生、健壮的营养枝连续甩放培养而成，按照“一年成枝、二年成花、三年结果、四年下垂结果”的过程培养成结果枝。结果枝下垂后主要通过果台枝延伸与“疏短留长”修剪维持长轴结果枝的长势，并连续结果6～10年，其后疏除更新，由新的背上枝结果枝代替。</w:t>
      </w:r>
    </w:p>
    <w:p>
      <w:pPr>
        <w:pStyle w:val="104"/>
        <w:spacing w:before="312" w:after="312"/>
      </w:pPr>
      <w:bookmarkStart w:id="97" w:name="_Toc164150986"/>
      <w:bookmarkStart w:id="98" w:name="_Toc164151061"/>
      <w:bookmarkStart w:id="99" w:name="_Toc156231905"/>
      <w:bookmarkStart w:id="100" w:name="_Toc156231924"/>
      <w:r>
        <w:rPr>
          <w:rFonts w:hint="eastAsia"/>
        </w:rPr>
        <w:t>花果管理</w:t>
      </w:r>
      <w:bookmarkEnd w:id="97"/>
      <w:bookmarkEnd w:id="98"/>
      <w:bookmarkEnd w:id="99"/>
      <w:bookmarkEnd w:id="100"/>
    </w:p>
    <w:p>
      <w:pPr>
        <w:pStyle w:val="105"/>
        <w:spacing w:before="156" w:after="156"/>
      </w:pPr>
      <w:r>
        <w:rPr>
          <w:rFonts w:hint="eastAsia"/>
        </w:rPr>
        <w:t>疏花</w:t>
      </w:r>
    </w:p>
    <w:p>
      <w:pPr>
        <w:pStyle w:val="56"/>
        <w:ind w:firstLine="420"/>
      </w:pPr>
      <w:r>
        <w:rPr>
          <w:rFonts w:hint="eastAsia"/>
        </w:rPr>
        <w:t>花序露红开始第一次疏花（序），使结果枝上花序平均间距达到10 cm左右。初花前开始第二次疏花，花序平均间距达到20 cm～25 cm，并同时疏除过多的边花，保留中心花。</w:t>
      </w:r>
    </w:p>
    <w:p>
      <w:pPr>
        <w:pStyle w:val="65"/>
        <w:numPr>
          <w:ilvl w:val="0"/>
          <w:numId w:val="0"/>
        </w:numPr>
        <w:spacing w:before="156" w:after="156"/>
      </w:pPr>
      <w:r>
        <w:rPr>
          <w:rFonts w:hint="eastAsia"/>
        </w:rPr>
        <w:t>9.2授粉</w:t>
      </w:r>
    </w:p>
    <w:p>
      <w:pPr>
        <w:pStyle w:val="56"/>
        <w:ind w:firstLine="420"/>
      </w:pPr>
      <w:r>
        <w:rPr>
          <w:rFonts w:hint="eastAsia"/>
        </w:rPr>
        <w:t>在苹果开花期间，采用不同的授粉器械进行果园人工点授、机械辅助授粉或蜜蜂授粉。蜜蜂授粉的苹果园参照DB14/T</w:t>
      </w:r>
      <w:r>
        <w:t xml:space="preserve"> </w:t>
      </w:r>
      <w:r>
        <w:rPr>
          <w:rFonts w:hint="eastAsia"/>
        </w:rPr>
        <w:t xml:space="preserve">806规定执行。 </w:t>
      </w:r>
    </w:p>
    <w:p>
      <w:pPr>
        <w:pStyle w:val="65"/>
        <w:numPr>
          <w:ilvl w:val="0"/>
          <w:numId w:val="0"/>
        </w:numPr>
        <w:spacing w:before="156" w:after="156"/>
      </w:pPr>
      <w:r>
        <w:rPr>
          <w:rFonts w:hint="eastAsia"/>
        </w:rPr>
        <w:t>9.3留果</w:t>
      </w:r>
    </w:p>
    <w:p>
      <w:pPr>
        <w:pStyle w:val="56"/>
        <w:ind w:firstLine="420"/>
      </w:pPr>
      <w:r>
        <w:rPr>
          <w:rFonts w:hint="eastAsia"/>
        </w:rPr>
        <w:t>根据不同果园花期气候条件进行人工疏果，盛果期每667 m</w:t>
      </w:r>
      <w:r>
        <w:rPr>
          <w:rFonts w:hint="eastAsia"/>
          <w:vertAlign w:val="superscript"/>
        </w:rPr>
        <w:t>2</w:t>
      </w:r>
      <w:r>
        <w:rPr>
          <w:rFonts w:hint="eastAsia"/>
        </w:rPr>
        <w:t>留果9 000～11 000个。</w:t>
      </w:r>
    </w:p>
    <w:p>
      <w:pPr>
        <w:pStyle w:val="65"/>
        <w:numPr>
          <w:ilvl w:val="0"/>
          <w:numId w:val="0"/>
        </w:numPr>
        <w:spacing w:before="156" w:after="156"/>
      </w:pPr>
      <w:r>
        <w:rPr>
          <w:rFonts w:hint="eastAsia"/>
        </w:rPr>
        <w:t>9.4果实套袋</w:t>
      </w:r>
    </w:p>
    <w:p>
      <w:pPr>
        <w:pStyle w:val="56"/>
        <w:ind w:firstLine="420"/>
      </w:pPr>
      <w:r>
        <w:rPr>
          <w:rFonts w:hint="eastAsia"/>
        </w:rPr>
        <w:t>海拔600 m以上的果园，采用双层纸袋直接套袋；海拔500 m以下的果园，采用先套膜袋、后套纸袋的方法进行果实套袋。果实套袋的其它内容参照NY/T 1505规定执行。</w:t>
      </w:r>
    </w:p>
    <w:p>
      <w:pPr>
        <w:pStyle w:val="104"/>
        <w:spacing w:before="312" w:after="312"/>
      </w:pPr>
      <w:bookmarkStart w:id="101" w:name="_Toc156231908"/>
      <w:bookmarkStart w:id="102" w:name="_Toc164151062"/>
      <w:bookmarkStart w:id="103" w:name="_Toc164150987"/>
      <w:bookmarkStart w:id="104" w:name="_Toc156231925"/>
      <w:r>
        <w:rPr>
          <w:rFonts w:hint="eastAsia"/>
        </w:rPr>
        <w:t>土肥管理</w:t>
      </w:r>
      <w:bookmarkEnd w:id="101"/>
      <w:bookmarkEnd w:id="102"/>
      <w:bookmarkEnd w:id="103"/>
      <w:bookmarkEnd w:id="104"/>
    </w:p>
    <w:p>
      <w:pPr>
        <w:pStyle w:val="105"/>
        <w:spacing w:before="156" w:after="156"/>
      </w:pPr>
      <w:bookmarkStart w:id="105" w:name="_Toc156231909"/>
      <w:r>
        <w:rPr>
          <w:rFonts w:hint="eastAsia"/>
        </w:rPr>
        <w:t>土壤管理</w:t>
      </w:r>
      <w:bookmarkEnd w:id="105"/>
    </w:p>
    <w:p>
      <w:pPr>
        <w:pStyle w:val="56"/>
        <w:ind w:firstLine="420"/>
      </w:pPr>
      <w:r>
        <w:rPr>
          <w:rFonts w:hint="eastAsia"/>
        </w:rPr>
        <w:t>有灌溉条件的高光效果园，在幼树期采用全园人工生草。草种可选用白三叶草、蒲公英等，通过生长季反复刈割3～5次，植被高度保持20 cm～25 cm。盛果期采用行内覆盖、行间人工生草。</w:t>
      </w:r>
    </w:p>
    <w:p>
      <w:pPr>
        <w:pStyle w:val="56"/>
        <w:ind w:firstLine="420"/>
      </w:pPr>
      <w:r>
        <w:rPr>
          <w:rFonts w:hint="eastAsia"/>
        </w:rPr>
        <w:t>无灌溉条件的旱作果园，幼树期采用全园自然生草，生长季反复刈割4～6次，植被高度5 cm～15 cm。盛果期可采用全园或行间自然生草、行内覆盖。其他条件按照NY/T 1082规定执行。</w:t>
      </w:r>
    </w:p>
    <w:p>
      <w:pPr>
        <w:pStyle w:val="105"/>
        <w:spacing w:before="156" w:after="156"/>
      </w:pPr>
      <w:bookmarkStart w:id="106" w:name="_Toc156231910"/>
      <w:r>
        <w:rPr>
          <w:rFonts w:hint="eastAsia"/>
        </w:rPr>
        <w:t>果园施肥</w:t>
      </w:r>
      <w:bookmarkEnd w:id="106"/>
    </w:p>
    <w:p>
      <w:pPr>
        <w:pStyle w:val="65"/>
        <w:spacing w:before="156" w:after="156"/>
      </w:pPr>
      <w:r>
        <w:rPr>
          <w:rFonts w:hint="eastAsia"/>
        </w:rPr>
        <w:t>基肥</w:t>
      </w:r>
    </w:p>
    <w:p>
      <w:pPr>
        <w:pStyle w:val="56"/>
        <w:ind w:firstLine="420"/>
      </w:pPr>
      <w:r>
        <w:rPr>
          <w:rFonts w:hint="eastAsia"/>
        </w:rPr>
        <w:t>果园基肥在9月～11月施用，并将有机肥、复合肥与多元微肥配合使用。</w:t>
      </w:r>
    </w:p>
    <w:p>
      <w:pPr>
        <w:pStyle w:val="56"/>
        <w:ind w:firstLine="420"/>
      </w:pPr>
      <w:r>
        <w:rPr>
          <w:rFonts w:hint="eastAsia"/>
        </w:rPr>
        <w:t>幼树阶段通过开沟扩穴施肥模式活化树盘土壤，成龄果园采用树冠投影带撒施耕翻或树冠投影下机械开沟施肥方法。</w:t>
      </w:r>
    </w:p>
    <w:p>
      <w:pPr>
        <w:pStyle w:val="230"/>
      </w:pPr>
      <w:r>
        <w:rPr>
          <w:rFonts w:hint="eastAsia"/>
        </w:rPr>
        <w:t>每</w:t>
      </w:r>
      <w:r>
        <w:t>667</w:t>
      </w:r>
      <w:r>
        <w:rPr>
          <w:rFonts w:hint="eastAsia"/>
        </w:rPr>
        <w:t xml:space="preserve"> </w:t>
      </w:r>
      <w:r>
        <w:t>m</w:t>
      </w:r>
      <w:r>
        <w:rPr>
          <w:vertAlign w:val="superscript"/>
        </w:rPr>
        <w:t>2</w:t>
      </w:r>
      <w:r>
        <w:rPr>
          <w:rFonts w:hint="eastAsia"/>
        </w:rPr>
        <w:t>施用腐熟的农家肥</w:t>
      </w:r>
      <w:r>
        <w:t>5</w:t>
      </w:r>
      <w:r>
        <w:rPr>
          <w:rFonts w:hint="eastAsia"/>
        </w:rPr>
        <w:t>～</w:t>
      </w:r>
      <w:r>
        <w:t>8 t</w:t>
      </w:r>
      <w:r>
        <w:rPr>
          <w:rFonts w:hint="eastAsia"/>
        </w:rPr>
        <w:t>，或商品有机肥</w:t>
      </w:r>
      <w:r>
        <w:t>1</w:t>
      </w:r>
      <w:r>
        <w:rPr>
          <w:rFonts w:hint="eastAsia"/>
        </w:rPr>
        <w:t>～</w:t>
      </w:r>
      <w:r>
        <w:t>1.5 t</w:t>
      </w:r>
      <w:r>
        <w:rPr>
          <w:rFonts w:hint="eastAsia"/>
        </w:rPr>
        <w:t>＋复合肥</w:t>
      </w:r>
      <w:r>
        <w:t>150</w:t>
      </w:r>
      <w:r>
        <w:rPr>
          <w:rFonts w:hint="eastAsia"/>
        </w:rPr>
        <w:t xml:space="preserve"> </w:t>
      </w:r>
      <w:r>
        <w:t>Kg</w:t>
      </w:r>
      <w:r>
        <w:rPr>
          <w:rFonts w:hint="eastAsia"/>
        </w:rPr>
        <w:t>＋多元微肥</w:t>
      </w:r>
      <w:r>
        <w:t>50</w:t>
      </w:r>
      <w:r>
        <w:rPr>
          <w:rFonts w:hint="eastAsia"/>
        </w:rPr>
        <w:t xml:space="preserve"> </w:t>
      </w:r>
      <w:r>
        <w:t>Kg</w:t>
      </w:r>
      <w:r>
        <w:rPr>
          <w:rFonts w:hint="eastAsia"/>
        </w:rPr>
        <w:t>。</w:t>
      </w:r>
    </w:p>
    <w:p>
      <w:pPr>
        <w:pStyle w:val="65"/>
        <w:spacing w:before="156" w:after="156"/>
      </w:pPr>
      <w:r>
        <w:rPr>
          <w:rFonts w:hint="eastAsia"/>
        </w:rPr>
        <w:t>追肥</w:t>
      </w:r>
    </w:p>
    <w:p>
      <w:pPr>
        <w:pStyle w:val="56"/>
        <w:ind w:firstLine="420"/>
      </w:pPr>
      <w:r>
        <w:rPr>
          <w:rFonts w:hint="eastAsia"/>
        </w:rPr>
        <w:t xml:space="preserve">幼树在树体萌动期至幼果膨大期土壤追肥1～2次，每株树追肥0.2 Kg～0.3 </w:t>
      </w:r>
      <w:r>
        <w:t>Kg</w:t>
      </w:r>
      <w:r>
        <w:rPr>
          <w:rFonts w:hint="eastAsia"/>
        </w:rPr>
        <w:t>。肥料以N、P、K等量或N肥增量使用。成龄果园果实膨大期土壤追肥</w:t>
      </w:r>
      <w:r>
        <w:t>1</w:t>
      </w:r>
      <w:r>
        <w:rPr>
          <w:rFonts w:hint="eastAsia"/>
        </w:rPr>
        <w:t>次，选用</w:t>
      </w:r>
      <w:r>
        <w:t>N</w:t>
      </w:r>
      <w:r>
        <w:rPr>
          <w:rFonts w:hint="eastAsia"/>
        </w:rPr>
        <w:t>、</w:t>
      </w:r>
      <w:r>
        <w:t>P</w:t>
      </w:r>
      <w:r>
        <w:rPr>
          <w:rFonts w:hint="eastAsia"/>
        </w:rPr>
        <w:t>、</w:t>
      </w:r>
      <w:r>
        <w:t>K</w:t>
      </w:r>
      <w:r>
        <w:rPr>
          <w:rFonts w:hint="eastAsia"/>
        </w:rPr>
        <w:t>等量复合肥，每</w:t>
      </w:r>
      <w:r>
        <w:t>667m</w:t>
      </w:r>
      <w:r>
        <w:rPr>
          <w:vertAlign w:val="superscript"/>
        </w:rPr>
        <w:t>2</w:t>
      </w:r>
      <w:r>
        <w:rPr>
          <w:rFonts w:hint="eastAsia"/>
        </w:rPr>
        <w:t>用量</w:t>
      </w:r>
      <w:r>
        <w:t>120</w:t>
      </w:r>
      <w:r>
        <w:rPr>
          <w:rFonts w:hint="eastAsia"/>
        </w:rPr>
        <w:t xml:space="preserve"> </w:t>
      </w:r>
      <w:r>
        <w:t>kg</w:t>
      </w:r>
      <w:r>
        <w:rPr>
          <w:rFonts w:hint="eastAsia"/>
        </w:rPr>
        <w:t>～</w:t>
      </w:r>
      <w:r>
        <w:t>25</w:t>
      </w:r>
      <w:r>
        <w:rPr>
          <w:rFonts w:hint="eastAsia"/>
        </w:rPr>
        <w:t xml:space="preserve">0 </w:t>
      </w:r>
      <w:r>
        <w:t>Kg</w:t>
      </w:r>
      <w:r>
        <w:rPr>
          <w:rFonts w:hint="eastAsia"/>
        </w:rPr>
        <w:t>；果实着色期叶面喷肥</w:t>
      </w:r>
      <w:r>
        <w:t>1</w:t>
      </w:r>
      <w:r>
        <w:rPr>
          <w:rFonts w:hint="eastAsia"/>
        </w:rPr>
        <w:t>～</w:t>
      </w:r>
      <w:r>
        <w:t>2</w:t>
      </w:r>
      <w:r>
        <w:rPr>
          <w:rFonts w:hint="eastAsia"/>
        </w:rPr>
        <w:t>次，选用</w:t>
      </w:r>
      <w:r>
        <w:t>K</w:t>
      </w:r>
      <w:r>
        <w:rPr>
          <w:rFonts w:hint="eastAsia"/>
        </w:rPr>
        <w:t>肥与多元微肥混合喷施，浓度</w:t>
      </w:r>
      <w:r>
        <w:t>0.3%</w:t>
      </w:r>
      <w:r>
        <w:rPr>
          <w:rFonts w:hint="eastAsia"/>
        </w:rPr>
        <w:t>。</w:t>
      </w:r>
    </w:p>
    <w:p>
      <w:pPr>
        <w:pStyle w:val="104"/>
        <w:spacing w:before="312" w:after="312"/>
      </w:pPr>
      <w:bookmarkStart w:id="107" w:name="_Toc156231926"/>
      <w:bookmarkStart w:id="108" w:name="_Toc164151063"/>
      <w:bookmarkStart w:id="109" w:name="_Toc164150988"/>
      <w:bookmarkStart w:id="110" w:name="_Toc156231911"/>
      <w:r>
        <w:rPr>
          <w:rFonts w:hint="eastAsia"/>
        </w:rPr>
        <w:t>病虫害防治</w:t>
      </w:r>
      <w:bookmarkEnd w:id="107"/>
      <w:bookmarkEnd w:id="108"/>
      <w:bookmarkEnd w:id="109"/>
      <w:bookmarkEnd w:id="110"/>
    </w:p>
    <w:p>
      <w:pPr>
        <w:pStyle w:val="56"/>
        <w:ind w:firstLine="420"/>
      </w:pPr>
      <w:r>
        <w:rPr>
          <w:rFonts w:hint="eastAsia"/>
        </w:rPr>
        <w:t>采用农业防治、物理化学防治、生物防治等综合应用的方法防控果园病虫害。具体技术内容参照 DB14/T 1640标准执行。</w:t>
      </w:r>
    </w:p>
    <w:p>
      <w:pPr>
        <w:pStyle w:val="104"/>
        <w:spacing w:before="312" w:after="312"/>
      </w:pPr>
      <w:bookmarkStart w:id="111" w:name="_Toc156231927"/>
      <w:bookmarkStart w:id="112" w:name="_Toc164151064"/>
      <w:bookmarkStart w:id="113" w:name="_Toc156231912"/>
      <w:bookmarkStart w:id="114" w:name="_Toc164150989"/>
      <w:r>
        <w:rPr>
          <w:rFonts w:hint="eastAsia"/>
        </w:rPr>
        <w:t>生产档案</w:t>
      </w:r>
      <w:bookmarkEnd w:id="111"/>
      <w:bookmarkEnd w:id="112"/>
      <w:bookmarkEnd w:id="113"/>
      <w:bookmarkEnd w:id="114"/>
    </w:p>
    <w:p>
      <w:pPr>
        <w:pStyle w:val="56"/>
        <w:ind w:firstLine="420"/>
      </w:pPr>
      <w:r>
        <w:rPr>
          <w:rFonts w:hint="eastAsia"/>
        </w:rPr>
        <w:t>建立苹果高光效果园生产档案，详细记录生长发育主要物候期与农事生产环节所采用的具体措施，档案长期保存。生产档案见附录B。</w:t>
      </w:r>
    </w:p>
    <w:p>
      <w:pPr>
        <w:pStyle w:val="56"/>
        <w:ind w:firstLine="0" w:firstLineChars="0"/>
        <w:sectPr>
          <w:pgSz w:w="11906" w:h="16838"/>
          <w:pgMar w:top="1928" w:right="1134" w:bottom="1134" w:left="1134" w:header="1418" w:footer="1134" w:gutter="284"/>
          <w:pgNumType w:start="1"/>
          <w:cols w:space="425" w:num="1"/>
          <w:formProt w:val="0"/>
          <w:docGrid w:type="lines" w:linePitch="312" w:charSpace="0"/>
        </w:sectPr>
      </w:pPr>
    </w:p>
    <w:bookmarkEnd w:id="30"/>
    <w:p>
      <w:pPr>
        <w:pStyle w:val="198"/>
        <w:rPr>
          <w:rFonts w:hint="eastAsia"/>
          <w:vanish w:val="0"/>
        </w:rPr>
      </w:pPr>
      <w:bookmarkStart w:id="115" w:name="BookMark5"/>
    </w:p>
    <w:p>
      <w:pPr>
        <w:pStyle w:val="199"/>
        <w:rPr>
          <w:vanish w:val="0"/>
        </w:rPr>
      </w:pPr>
    </w:p>
    <w:p>
      <w:pPr>
        <w:pStyle w:val="76"/>
        <w:spacing w:after="156"/>
      </w:pPr>
      <w:r>
        <w:br w:type="textWrapping"/>
      </w:r>
      <w:bookmarkStart w:id="116" w:name="_Toc156231928"/>
      <w:bookmarkStart w:id="117" w:name="_Toc164150990"/>
      <w:bookmarkStart w:id="118" w:name="_Toc164151065"/>
      <w:bookmarkStart w:id="119" w:name="_Toc156231913"/>
      <w:r>
        <w:rPr>
          <w:rFonts w:hint="eastAsia"/>
        </w:rPr>
        <w:t>（资料性）</w:t>
      </w:r>
      <w:r>
        <w:br w:type="textWrapping"/>
      </w:r>
      <w:r>
        <w:rPr>
          <w:rFonts w:hint="eastAsia"/>
        </w:rPr>
        <w:t>苹果高光效果园适宜的优良品种</w:t>
      </w:r>
      <w:bookmarkEnd w:id="116"/>
      <w:bookmarkEnd w:id="117"/>
      <w:bookmarkEnd w:id="118"/>
      <w:bookmarkEnd w:id="119"/>
    </w:p>
    <w:p>
      <w:pPr>
        <w:pStyle w:val="56"/>
        <w:ind w:firstLine="420"/>
      </w:pPr>
      <w:r>
        <w:rPr>
          <w:rFonts w:hint="eastAsia"/>
        </w:rPr>
        <w:t>着色富士系：包括长富2号、秋富1号、宫藤富士、晋富1～3号，烟富1～6号、红将军等。</w:t>
      </w:r>
    </w:p>
    <w:p>
      <w:pPr>
        <w:pStyle w:val="56"/>
        <w:ind w:firstLine="420"/>
      </w:pPr>
      <w:r>
        <w:rPr>
          <w:rFonts w:hint="eastAsia"/>
        </w:rPr>
        <w:t>嘎拉系：包括皇家嘎拉、太平洋嘎拉、丽嘎、烟噶3号等。</w:t>
      </w:r>
    </w:p>
    <w:p>
      <w:pPr>
        <w:pStyle w:val="56"/>
        <w:ind w:firstLine="420"/>
      </w:pPr>
      <w:r>
        <w:rPr>
          <w:rFonts w:hint="eastAsia"/>
        </w:rPr>
        <w:t>金冠系：金冠、无锈金冠、丰帅等。</w:t>
      </w:r>
    </w:p>
    <w:p>
      <w:pPr>
        <w:pStyle w:val="56"/>
        <w:ind w:firstLine="420"/>
        <w:sectPr>
          <w:pgSz w:w="11906" w:h="16838"/>
          <w:pgMar w:top="1928" w:right="1134" w:bottom="1134" w:left="1134" w:header="1418" w:footer="1134" w:gutter="284"/>
          <w:cols w:space="425" w:num="1"/>
          <w:formProt w:val="0"/>
          <w:docGrid w:type="lines" w:linePitch="312" w:charSpace="0"/>
        </w:sectPr>
      </w:pPr>
      <w:r>
        <w:rPr>
          <w:rFonts w:hint="eastAsia"/>
        </w:rPr>
        <w:t>其它苹果品种包括：新凉香、乔纳金、美国8号、藤木1号、夏红、秦冠等。</w:t>
      </w:r>
    </w:p>
    <w:p>
      <w:pPr>
        <w:pStyle w:val="198"/>
        <w:rPr>
          <w:rFonts w:hint="eastAsia"/>
          <w:vanish w:val="0"/>
        </w:rPr>
      </w:pPr>
    </w:p>
    <w:p>
      <w:pPr>
        <w:pStyle w:val="199"/>
        <w:rPr>
          <w:vanish w:val="0"/>
        </w:rPr>
      </w:pPr>
    </w:p>
    <w:p>
      <w:pPr>
        <w:pStyle w:val="76"/>
        <w:spacing w:after="156"/>
      </w:pPr>
      <w:r>
        <w:br w:type="textWrapping"/>
      </w:r>
      <w:bookmarkStart w:id="120" w:name="_Toc164150991"/>
      <w:bookmarkStart w:id="121" w:name="_Toc156231929"/>
      <w:bookmarkStart w:id="122" w:name="_Toc156231914"/>
      <w:bookmarkStart w:id="123" w:name="_Toc164151066"/>
      <w:r>
        <w:rPr>
          <w:rFonts w:hint="eastAsia"/>
        </w:rPr>
        <w:t>（资料性）</w:t>
      </w:r>
      <w:r>
        <w:br w:type="textWrapping"/>
      </w:r>
      <w:r>
        <w:rPr>
          <w:rFonts w:hint="eastAsia"/>
        </w:rPr>
        <w:t>高光效苹果园生产档案</w:t>
      </w:r>
      <w:bookmarkEnd w:id="120"/>
      <w:bookmarkEnd w:id="121"/>
      <w:bookmarkEnd w:id="122"/>
      <w:bookmarkEnd w:id="123"/>
    </w:p>
    <w:p>
      <w:pPr>
        <w:pStyle w:val="182"/>
        <w:ind w:firstLine="0" w:firstLineChars="0"/>
        <w:rPr>
          <w:sz w:val="21"/>
          <w:szCs w:val="21"/>
        </w:rPr>
      </w:pPr>
      <w:r>
        <w:rPr>
          <w:rFonts w:hint="eastAsia"/>
          <w:sz w:val="21"/>
          <w:szCs w:val="21"/>
        </w:rPr>
        <w:t>在高光效苹果园生产中，需记录果树生长发育主要物候期与农事生产内容。</w:t>
      </w:r>
    </w:p>
    <w:p>
      <w:pPr>
        <w:pStyle w:val="234"/>
        <w:numPr>
          <w:ilvl w:val="0"/>
          <w:numId w:val="0"/>
        </w:numPr>
        <w:spacing w:before="156" w:after="156"/>
        <w:jc w:val="center"/>
        <w:rPr>
          <w:color w:val="000000"/>
        </w:rPr>
      </w:pPr>
      <w:r>
        <w:rPr>
          <w:rFonts w:hint="eastAsia"/>
          <w:color w:val="000000"/>
        </w:rPr>
        <w:t>表B.1  高光效果园生长发育主要物候期记载表</w:t>
      </w:r>
    </w:p>
    <w:p>
      <w:pPr>
        <w:ind w:firstLine="435"/>
        <w:rPr>
          <w:color w:val="000000"/>
        </w:rPr>
      </w:pPr>
      <w:r>
        <w:rPr>
          <w:rFonts w:hint="eastAsia"/>
          <w:color w:val="000000"/>
        </w:rPr>
        <w:t xml:space="preserve">种植农户：             种植面积：          果园地点：           记录年份：                                  </w:t>
      </w:r>
    </w:p>
    <w:tbl>
      <w:tblPr>
        <w:tblStyle w:val="27"/>
        <w:tblW w:w="95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8"/>
        <w:gridCol w:w="1305"/>
        <w:gridCol w:w="872"/>
        <w:gridCol w:w="872"/>
        <w:gridCol w:w="1305"/>
        <w:gridCol w:w="1521"/>
        <w:gridCol w:w="1305"/>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0" w:type="auto"/>
            <w:vAlign w:val="center"/>
          </w:tcPr>
          <w:p>
            <w:pPr>
              <w:jc w:val="center"/>
              <w:rPr>
                <w:color w:val="000000"/>
              </w:rPr>
            </w:pPr>
            <w:r>
              <w:rPr>
                <w:rFonts w:hint="eastAsia"/>
                <w:color w:val="000000"/>
              </w:rPr>
              <w:t>树形类型</w:t>
            </w:r>
          </w:p>
        </w:tc>
        <w:tc>
          <w:tcPr>
            <w:tcW w:w="0" w:type="auto"/>
            <w:vAlign w:val="center"/>
          </w:tcPr>
          <w:p>
            <w:pPr>
              <w:jc w:val="center"/>
              <w:rPr>
                <w:color w:val="000000"/>
              </w:rPr>
            </w:pPr>
            <w:r>
              <w:rPr>
                <w:rFonts w:hint="eastAsia"/>
                <w:color w:val="000000"/>
              </w:rPr>
              <w:t>树体萌芽期</w:t>
            </w:r>
          </w:p>
        </w:tc>
        <w:tc>
          <w:tcPr>
            <w:tcW w:w="0" w:type="auto"/>
            <w:vAlign w:val="center"/>
          </w:tcPr>
          <w:p>
            <w:pPr>
              <w:jc w:val="center"/>
              <w:rPr>
                <w:color w:val="000000"/>
              </w:rPr>
            </w:pPr>
            <w:r>
              <w:rPr>
                <w:rFonts w:hint="eastAsia"/>
                <w:color w:val="000000"/>
              </w:rPr>
              <w:t>开花期</w:t>
            </w:r>
          </w:p>
        </w:tc>
        <w:tc>
          <w:tcPr>
            <w:tcW w:w="0" w:type="auto"/>
            <w:vAlign w:val="center"/>
          </w:tcPr>
          <w:p>
            <w:pPr>
              <w:jc w:val="center"/>
              <w:rPr>
                <w:color w:val="000000"/>
              </w:rPr>
            </w:pPr>
            <w:r>
              <w:rPr>
                <w:rFonts w:hint="eastAsia"/>
                <w:color w:val="000000"/>
              </w:rPr>
              <w:t>坐果期</w:t>
            </w:r>
          </w:p>
        </w:tc>
        <w:tc>
          <w:tcPr>
            <w:tcW w:w="0" w:type="auto"/>
            <w:vAlign w:val="center"/>
          </w:tcPr>
          <w:p>
            <w:pPr>
              <w:jc w:val="center"/>
              <w:rPr>
                <w:color w:val="000000"/>
              </w:rPr>
            </w:pPr>
            <w:r>
              <w:rPr>
                <w:rFonts w:hint="eastAsia"/>
                <w:color w:val="000000"/>
              </w:rPr>
              <w:t>果实成熟期</w:t>
            </w:r>
          </w:p>
        </w:tc>
        <w:tc>
          <w:tcPr>
            <w:tcW w:w="0" w:type="auto"/>
            <w:vAlign w:val="center"/>
          </w:tcPr>
          <w:p>
            <w:pPr>
              <w:jc w:val="center"/>
              <w:rPr>
                <w:color w:val="000000"/>
              </w:rPr>
            </w:pPr>
            <w:r>
              <w:rPr>
                <w:rFonts w:hint="eastAsia"/>
                <w:color w:val="000000"/>
              </w:rPr>
              <w:t>果树发育天数</w:t>
            </w:r>
          </w:p>
        </w:tc>
        <w:tc>
          <w:tcPr>
            <w:tcW w:w="0" w:type="auto"/>
            <w:vAlign w:val="center"/>
          </w:tcPr>
          <w:p>
            <w:pPr>
              <w:jc w:val="center"/>
              <w:rPr>
                <w:color w:val="000000"/>
              </w:rPr>
            </w:pPr>
            <w:r>
              <w:rPr>
                <w:rFonts w:hint="eastAsia"/>
                <w:color w:val="000000"/>
              </w:rPr>
              <w:t>叶片变黄期</w:t>
            </w:r>
          </w:p>
        </w:tc>
        <w:tc>
          <w:tcPr>
            <w:tcW w:w="0" w:type="auto"/>
            <w:vAlign w:val="center"/>
          </w:tcPr>
          <w:p>
            <w:pPr>
              <w:jc w:val="center"/>
              <w:rPr>
                <w:color w:val="000000"/>
              </w:rPr>
            </w:pPr>
            <w:r>
              <w:rPr>
                <w:rFonts w:hint="eastAsia"/>
                <w:color w:val="000000"/>
              </w:rPr>
              <w:t>树体休眠期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c>
          <w:tcPr>
            <w:tcW w:w="0" w:type="auto"/>
            <w:vAlign w:val="center"/>
          </w:tcPr>
          <w:p>
            <w:pPr>
              <w:jc w:val="center"/>
              <w:rPr>
                <w:color w:val="000000"/>
              </w:rPr>
            </w:pPr>
          </w:p>
        </w:tc>
      </w:tr>
    </w:tbl>
    <w:p>
      <w:pPr>
        <w:pStyle w:val="230"/>
      </w:pPr>
    </w:p>
    <w:p>
      <w:pPr>
        <w:pStyle w:val="239"/>
        <w:numPr>
          <w:ilvl w:val="0"/>
          <w:numId w:val="0"/>
        </w:numPr>
        <w:spacing w:before="156" w:after="156"/>
      </w:pPr>
      <w:r>
        <w:rPr>
          <w:rFonts w:hint="eastAsia"/>
        </w:rPr>
        <w:t>表B.2   果园农事生产记录</w:t>
      </w:r>
    </w:p>
    <w:p>
      <w:pPr>
        <w:pStyle w:val="230"/>
        <w:rPr>
          <w:color w:val="000000"/>
        </w:rPr>
      </w:pPr>
      <w:r>
        <w:rPr>
          <w:rFonts w:hint="eastAsia"/>
          <w:color w:val="000000"/>
        </w:rPr>
        <w:t xml:space="preserve">种植农户：              种植面积：          </w:t>
      </w:r>
      <w:r>
        <w:rPr>
          <w:color w:val="000000"/>
        </w:rPr>
        <w:t xml:space="preserve">  </w:t>
      </w:r>
      <w:r>
        <w:rPr>
          <w:rFonts w:hint="eastAsia"/>
          <w:color w:val="000000"/>
        </w:rPr>
        <w:t xml:space="preserve">果园地点：          </w:t>
      </w:r>
      <w:r>
        <w:rPr>
          <w:color w:val="000000"/>
        </w:rPr>
        <w:t xml:space="preserve">    </w:t>
      </w:r>
      <w:r>
        <w:rPr>
          <w:rFonts w:hint="eastAsia"/>
          <w:color w:val="000000"/>
        </w:rPr>
        <w:t>记录年份：</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9"/>
        <w:gridCol w:w="449"/>
        <w:gridCol w:w="465"/>
        <w:gridCol w:w="473"/>
        <w:gridCol w:w="473"/>
        <w:gridCol w:w="449"/>
        <w:gridCol w:w="449"/>
        <w:gridCol w:w="449"/>
        <w:gridCol w:w="449"/>
        <w:gridCol w:w="449"/>
        <w:gridCol w:w="449"/>
        <w:gridCol w:w="457"/>
        <w:gridCol w:w="449"/>
        <w:gridCol w:w="473"/>
        <w:gridCol w:w="465"/>
        <w:gridCol w:w="449"/>
        <w:gridCol w:w="450"/>
        <w:gridCol w:w="458"/>
        <w:gridCol w:w="458"/>
        <w:gridCol w:w="450"/>
        <w:gridCol w:w="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vMerge w:val="restart"/>
            <w:vAlign w:val="center"/>
          </w:tcPr>
          <w:p>
            <w:pPr>
              <w:pStyle w:val="230"/>
              <w:spacing w:before="156" w:after="156"/>
              <w:ind w:firstLine="0" w:firstLineChars="0"/>
              <w:jc w:val="center"/>
              <w:rPr>
                <w:color w:val="000000"/>
              </w:rPr>
            </w:pPr>
            <w:r>
              <w:rPr>
                <w:rFonts w:hint="eastAsia"/>
                <w:color w:val="000000"/>
              </w:rPr>
              <w:t>记录日期</w:t>
            </w:r>
          </w:p>
        </w:tc>
        <w:tc>
          <w:tcPr>
            <w:tcW w:w="0" w:type="auto"/>
            <w:gridSpan w:val="2"/>
            <w:vAlign w:val="center"/>
          </w:tcPr>
          <w:p>
            <w:pPr>
              <w:pStyle w:val="230"/>
              <w:spacing w:before="156" w:after="156"/>
              <w:ind w:firstLine="0" w:firstLineChars="0"/>
              <w:jc w:val="center"/>
              <w:rPr>
                <w:color w:val="000000"/>
              </w:rPr>
            </w:pPr>
            <w:r>
              <w:rPr>
                <w:color w:val="000000"/>
              </w:rPr>
              <w:t>疏花</w:t>
            </w:r>
          </w:p>
        </w:tc>
        <w:tc>
          <w:tcPr>
            <w:tcW w:w="0" w:type="auto"/>
            <w:gridSpan w:val="3"/>
            <w:vAlign w:val="center"/>
          </w:tcPr>
          <w:p>
            <w:pPr>
              <w:pStyle w:val="230"/>
              <w:ind w:firstLine="105" w:firstLineChars="50"/>
              <w:jc w:val="center"/>
              <w:rPr>
                <w:color w:val="000000"/>
              </w:rPr>
            </w:pPr>
            <w:r>
              <w:rPr>
                <w:rFonts w:hint="eastAsia"/>
                <w:color w:val="000000"/>
              </w:rPr>
              <w:t>夏季修剪</w:t>
            </w:r>
          </w:p>
        </w:tc>
        <w:tc>
          <w:tcPr>
            <w:tcW w:w="0" w:type="auto"/>
            <w:gridSpan w:val="3"/>
            <w:vAlign w:val="center"/>
          </w:tcPr>
          <w:p>
            <w:pPr>
              <w:pStyle w:val="230"/>
              <w:spacing w:before="156" w:after="156"/>
              <w:ind w:firstLine="0" w:firstLineChars="0"/>
              <w:jc w:val="center"/>
              <w:rPr>
                <w:color w:val="000000"/>
              </w:rPr>
            </w:pPr>
            <w:r>
              <w:rPr>
                <w:rFonts w:hint="eastAsia"/>
                <w:color w:val="000000"/>
              </w:rPr>
              <w:t>果实套袋</w:t>
            </w:r>
          </w:p>
        </w:tc>
        <w:tc>
          <w:tcPr>
            <w:tcW w:w="0" w:type="auto"/>
            <w:gridSpan w:val="3"/>
            <w:vAlign w:val="center"/>
          </w:tcPr>
          <w:p>
            <w:pPr>
              <w:pStyle w:val="230"/>
              <w:spacing w:before="156" w:after="156"/>
              <w:ind w:firstLine="0" w:firstLineChars="0"/>
              <w:jc w:val="center"/>
              <w:rPr>
                <w:color w:val="000000"/>
              </w:rPr>
            </w:pPr>
            <w:r>
              <w:rPr>
                <w:color w:val="000000"/>
              </w:rPr>
              <w:t>果实采收</w:t>
            </w:r>
          </w:p>
        </w:tc>
        <w:tc>
          <w:tcPr>
            <w:tcW w:w="0" w:type="auto"/>
            <w:gridSpan w:val="3"/>
            <w:vAlign w:val="center"/>
          </w:tcPr>
          <w:p>
            <w:pPr>
              <w:pStyle w:val="230"/>
              <w:spacing w:before="156" w:after="156"/>
              <w:ind w:firstLine="0" w:firstLineChars="0"/>
              <w:jc w:val="center"/>
              <w:rPr>
                <w:color w:val="000000"/>
              </w:rPr>
            </w:pPr>
            <w:r>
              <w:rPr>
                <w:rFonts w:hint="eastAsia"/>
                <w:color w:val="000000"/>
              </w:rPr>
              <w:t>秋季施肥</w:t>
            </w:r>
          </w:p>
        </w:tc>
        <w:tc>
          <w:tcPr>
            <w:tcW w:w="0" w:type="auto"/>
            <w:gridSpan w:val="6"/>
            <w:vAlign w:val="center"/>
          </w:tcPr>
          <w:p>
            <w:pPr>
              <w:pStyle w:val="230"/>
              <w:spacing w:before="156" w:after="156"/>
              <w:ind w:firstLine="0" w:firstLineChars="0"/>
              <w:jc w:val="center"/>
              <w:rPr>
                <w:color w:val="000000"/>
              </w:rPr>
            </w:pPr>
            <w:r>
              <w:rPr>
                <w:rFonts w:hint="eastAsia"/>
                <w:color w:val="000000"/>
              </w:rPr>
              <w:t>冬季整形修剪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jc w:val="center"/>
        </w:trPr>
        <w:tc>
          <w:tcPr>
            <w:tcW w:w="0" w:type="auto"/>
            <w:vMerge w:val="continue"/>
          </w:tcPr>
          <w:p>
            <w:pPr>
              <w:pStyle w:val="230"/>
              <w:spacing w:before="156" w:after="156"/>
              <w:ind w:firstLine="0" w:firstLineChars="0"/>
              <w:rPr>
                <w:color w:val="000000"/>
              </w:rPr>
            </w:pPr>
          </w:p>
        </w:tc>
        <w:tc>
          <w:tcPr>
            <w:tcW w:w="0" w:type="auto"/>
          </w:tcPr>
          <w:p>
            <w:pPr>
              <w:pStyle w:val="230"/>
              <w:spacing w:before="156" w:after="156"/>
              <w:ind w:firstLine="0" w:firstLineChars="0"/>
              <w:rPr>
                <w:color w:val="000000"/>
              </w:rPr>
            </w:pPr>
            <w:r>
              <w:rPr>
                <w:rFonts w:hint="eastAsia"/>
                <w:color w:val="000000"/>
              </w:rPr>
              <w:t>疏花时间</w:t>
            </w:r>
          </w:p>
        </w:tc>
        <w:tc>
          <w:tcPr>
            <w:tcW w:w="0" w:type="auto"/>
          </w:tcPr>
          <w:p>
            <w:pPr>
              <w:pStyle w:val="230"/>
              <w:spacing w:before="156" w:after="156"/>
              <w:ind w:firstLine="0" w:firstLineChars="0"/>
              <w:rPr>
                <w:color w:val="000000"/>
              </w:rPr>
            </w:pPr>
            <w:r>
              <w:rPr>
                <w:rFonts w:hint="eastAsia"/>
                <w:color w:val="000000"/>
              </w:rPr>
              <w:t>疏除花朵总量</w:t>
            </w:r>
          </w:p>
        </w:tc>
        <w:tc>
          <w:tcPr>
            <w:tcW w:w="0" w:type="auto"/>
          </w:tcPr>
          <w:p>
            <w:pPr>
              <w:pStyle w:val="230"/>
              <w:spacing w:before="156" w:after="156"/>
              <w:ind w:firstLine="0" w:firstLineChars="0"/>
              <w:rPr>
                <w:color w:val="000000"/>
              </w:rPr>
            </w:pPr>
            <w:r>
              <w:rPr>
                <w:rFonts w:hint="eastAsia"/>
                <w:color w:val="000000"/>
              </w:rPr>
              <w:t>拉枝角度和时间</w:t>
            </w:r>
          </w:p>
        </w:tc>
        <w:tc>
          <w:tcPr>
            <w:tcW w:w="0" w:type="auto"/>
          </w:tcPr>
          <w:p>
            <w:pPr>
              <w:pStyle w:val="230"/>
              <w:spacing w:before="156" w:after="156"/>
              <w:ind w:firstLine="0" w:firstLineChars="0"/>
              <w:rPr>
                <w:color w:val="000000"/>
              </w:rPr>
            </w:pPr>
            <w:r>
              <w:rPr>
                <w:rFonts w:hint="eastAsia"/>
                <w:color w:val="000000"/>
              </w:rPr>
              <w:t>第一次拿枝时间</w:t>
            </w:r>
          </w:p>
        </w:tc>
        <w:tc>
          <w:tcPr>
            <w:tcW w:w="0" w:type="auto"/>
          </w:tcPr>
          <w:p>
            <w:pPr>
              <w:pStyle w:val="230"/>
              <w:spacing w:before="156" w:after="156"/>
              <w:ind w:firstLine="0" w:firstLineChars="0"/>
              <w:rPr>
                <w:color w:val="000000"/>
              </w:rPr>
            </w:pPr>
            <w:r>
              <w:rPr>
                <w:rFonts w:hint="eastAsia"/>
                <w:color w:val="000000"/>
              </w:rPr>
              <w:t>疏枝总量</w:t>
            </w:r>
          </w:p>
        </w:tc>
        <w:tc>
          <w:tcPr>
            <w:tcW w:w="0" w:type="auto"/>
          </w:tcPr>
          <w:p>
            <w:pPr>
              <w:pStyle w:val="230"/>
              <w:spacing w:before="156" w:after="156"/>
              <w:ind w:firstLine="0" w:firstLineChars="0"/>
              <w:rPr>
                <w:color w:val="000000"/>
              </w:rPr>
            </w:pPr>
            <w:r>
              <w:rPr>
                <w:rFonts w:hint="eastAsia"/>
                <w:color w:val="000000"/>
              </w:rPr>
              <w:t>纸袋类型</w:t>
            </w:r>
          </w:p>
        </w:tc>
        <w:tc>
          <w:tcPr>
            <w:tcW w:w="0" w:type="auto"/>
          </w:tcPr>
          <w:p>
            <w:pPr>
              <w:pStyle w:val="230"/>
              <w:spacing w:before="156" w:after="156"/>
              <w:ind w:firstLine="0" w:firstLineChars="0"/>
              <w:rPr>
                <w:color w:val="000000"/>
              </w:rPr>
            </w:pPr>
            <w:r>
              <w:rPr>
                <w:rFonts w:hint="eastAsia"/>
                <w:color w:val="000000"/>
              </w:rPr>
              <w:t>套袋日期</w:t>
            </w:r>
          </w:p>
        </w:tc>
        <w:tc>
          <w:tcPr>
            <w:tcW w:w="0" w:type="auto"/>
          </w:tcPr>
          <w:p>
            <w:pPr>
              <w:pStyle w:val="230"/>
              <w:spacing w:before="156" w:after="156"/>
              <w:ind w:firstLine="0" w:firstLineChars="0"/>
              <w:rPr>
                <w:color w:val="000000"/>
              </w:rPr>
            </w:pPr>
            <w:r>
              <w:rPr>
                <w:rFonts w:hint="eastAsia"/>
                <w:color w:val="000000"/>
              </w:rPr>
              <w:t>脱袋日期</w:t>
            </w:r>
          </w:p>
        </w:tc>
        <w:tc>
          <w:tcPr>
            <w:tcW w:w="0" w:type="auto"/>
          </w:tcPr>
          <w:p>
            <w:pPr>
              <w:pStyle w:val="230"/>
              <w:spacing w:before="156" w:after="156"/>
              <w:ind w:firstLine="0" w:firstLineChars="0"/>
              <w:rPr>
                <w:color w:val="000000"/>
              </w:rPr>
            </w:pPr>
            <w:r>
              <w:rPr>
                <w:rFonts w:hint="eastAsia"/>
                <w:color w:val="000000"/>
              </w:rPr>
              <w:t>采收时间</w:t>
            </w:r>
          </w:p>
        </w:tc>
        <w:tc>
          <w:tcPr>
            <w:tcW w:w="0" w:type="auto"/>
          </w:tcPr>
          <w:p>
            <w:pPr>
              <w:pStyle w:val="230"/>
              <w:spacing w:before="156" w:after="156"/>
              <w:ind w:firstLine="0" w:firstLineChars="0"/>
              <w:rPr>
                <w:color w:val="000000"/>
              </w:rPr>
            </w:pPr>
            <w:r>
              <w:rPr>
                <w:rFonts w:hint="eastAsia"/>
                <w:color w:val="000000"/>
              </w:rPr>
              <w:t>果园产量</w:t>
            </w:r>
          </w:p>
        </w:tc>
        <w:tc>
          <w:tcPr>
            <w:tcW w:w="0" w:type="auto"/>
          </w:tcPr>
          <w:p>
            <w:pPr>
              <w:pStyle w:val="230"/>
              <w:spacing w:before="156" w:after="156"/>
              <w:ind w:firstLine="0" w:firstLineChars="0"/>
              <w:rPr>
                <w:color w:val="000000"/>
              </w:rPr>
            </w:pPr>
            <w:r>
              <w:rPr>
                <w:rFonts w:hint="eastAsia"/>
                <w:color w:val="000000"/>
              </w:rPr>
              <w:t>商品果比率</w:t>
            </w:r>
          </w:p>
        </w:tc>
        <w:tc>
          <w:tcPr>
            <w:tcW w:w="0" w:type="auto"/>
          </w:tcPr>
          <w:p>
            <w:pPr>
              <w:pStyle w:val="230"/>
              <w:spacing w:before="156" w:after="156"/>
              <w:ind w:firstLine="0" w:firstLineChars="0"/>
              <w:rPr>
                <w:color w:val="000000"/>
              </w:rPr>
            </w:pPr>
            <w:r>
              <w:rPr>
                <w:rFonts w:hint="eastAsia"/>
                <w:color w:val="000000"/>
              </w:rPr>
              <w:t>肥料名称</w:t>
            </w:r>
          </w:p>
        </w:tc>
        <w:tc>
          <w:tcPr>
            <w:tcW w:w="0" w:type="auto"/>
          </w:tcPr>
          <w:p>
            <w:pPr>
              <w:pStyle w:val="230"/>
              <w:spacing w:before="156" w:after="156"/>
              <w:ind w:firstLine="0" w:firstLineChars="0"/>
              <w:rPr>
                <w:color w:val="000000"/>
              </w:rPr>
            </w:pPr>
            <w:r>
              <w:rPr>
                <w:rFonts w:hint="eastAsia"/>
                <w:color w:val="000000"/>
              </w:rPr>
              <w:t>主要成分及含量</w:t>
            </w:r>
          </w:p>
        </w:tc>
        <w:tc>
          <w:tcPr>
            <w:tcW w:w="0" w:type="auto"/>
          </w:tcPr>
          <w:p>
            <w:pPr>
              <w:pStyle w:val="230"/>
              <w:spacing w:before="156" w:after="156"/>
              <w:ind w:firstLine="0" w:firstLineChars="0"/>
              <w:rPr>
                <w:color w:val="000000"/>
              </w:rPr>
            </w:pPr>
            <w:r>
              <w:rPr>
                <w:rFonts w:hint="eastAsia"/>
                <w:color w:val="000000"/>
              </w:rPr>
              <w:t>单位面积用量</w:t>
            </w:r>
          </w:p>
        </w:tc>
        <w:tc>
          <w:tcPr>
            <w:tcW w:w="0" w:type="auto"/>
          </w:tcPr>
          <w:p>
            <w:pPr>
              <w:pStyle w:val="230"/>
              <w:spacing w:before="156" w:after="156"/>
              <w:ind w:firstLine="0" w:firstLineChars="0"/>
              <w:rPr>
                <w:color w:val="000000"/>
              </w:rPr>
            </w:pPr>
            <w:r>
              <w:rPr>
                <w:rFonts w:hint="eastAsia"/>
                <w:color w:val="000000"/>
              </w:rPr>
              <w:t>树形类型</w:t>
            </w:r>
          </w:p>
        </w:tc>
        <w:tc>
          <w:tcPr>
            <w:tcW w:w="0" w:type="auto"/>
          </w:tcPr>
          <w:p>
            <w:pPr>
              <w:pStyle w:val="230"/>
              <w:spacing w:before="156" w:after="156"/>
              <w:ind w:firstLine="0" w:firstLineChars="0"/>
              <w:rPr>
                <w:color w:val="000000"/>
              </w:rPr>
            </w:pPr>
            <w:r>
              <w:rPr>
                <w:rFonts w:hint="eastAsia"/>
                <w:color w:val="000000"/>
              </w:rPr>
              <w:t>主枝数量</w:t>
            </w:r>
          </w:p>
        </w:tc>
        <w:tc>
          <w:tcPr>
            <w:tcW w:w="0" w:type="auto"/>
          </w:tcPr>
          <w:p>
            <w:pPr>
              <w:pStyle w:val="230"/>
              <w:spacing w:before="156" w:after="156"/>
              <w:ind w:firstLine="0" w:firstLineChars="0"/>
              <w:rPr>
                <w:color w:val="000000"/>
              </w:rPr>
            </w:pPr>
            <w:r>
              <w:rPr>
                <w:rFonts w:hint="eastAsia"/>
                <w:color w:val="000000"/>
              </w:rPr>
              <w:t>侧生枝数量</w:t>
            </w:r>
          </w:p>
        </w:tc>
        <w:tc>
          <w:tcPr>
            <w:tcW w:w="0" w:type="auto"/>
          </w:tcPr>
          <w:p>
            <w:pPr>
              <w:pStyle w:val="230"/>
              <w:spacing w:before="156" w:after="156"/>
              <w:ind w:firstLine="0" w:firstLineChars="0"/>
              <w:rPr>
                <w:color w:val="000000"/>
              </w:rPr>
            </w:pPr>
            <w:r>
              <w:rPr>
                <w:rFonts w:hint="eastAsia"/>
                <w:color w:val="000000"/>
              </w:rPr>
              <w:t>结果枝长度</w:t>
            </w:r>
          </w:p>
        </w:tc>
        <w:tc>
          <w:tcPr>
            <w:tcW w:w="0" w:type="auto"/>
          </w:tcPr>
          <w:p>
            <w:pPr>
              <w:pStyle w:val="230"/>
              <w:spacing w:before="156" w:after="156"/>
              <w:ind w:firstLine="0" w:firstLineChars="0"/>
              <w:rPr>
                <w:color w:val="000000"/>
              </w:rPr>
            </w:pPr>
            <w:r>
              <w:rPr>
                <w:rFonts w:hint="eastAsia"/>
                <w:color w:val="000000"/>
              </w:rPr>
              <w:t>修剪方法</w:t>
            </w:r>
          </w:p>
        </w:tc>
        <w:tc>
          <w:tcPr>
            <w:tcW w:w="0" w:type="auto"/>
          </w:tcPr>
          <w:p>
            <w:pPr>
              <w:pStyle w:val="230"/>
              <w:spacing w:before="156" w:after="156"/>
              <w:ind w:firstLine="0" w:firstLineChars="0"/>
              <w:rPr>
                <w:color w:val="000000"/>
              </w:rPr>
            </w:pPr>
            <w:r>
              <w:rPr>
                <w:rFonts w:hint="eastAsia"/>
                <w:color w:val="000000"/>
              </w:rPr>
              <w:t>全树总枝量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0" w:type="auto"/>
          </w:tcPr>
          <w:p>
            <w:pPr>
              <w:pStyle w:val="230"/>
              <w:spacing w:before="156" w:after="156"/>
              <w:ind w:firstLine="0" w:firstLineChars="0"/>
              <w:rPr>
                <w:color w:val="000000"/>
              </w:rPr>
            </w:pPr>
          </w:p>
        </w:tc>
        <w:tc>
          <w:tcPr>
            <w:tcW w:w="0" w:type="auto"/>
          </w:tcPr>
          <w:p>
            <w:pPr>
              <w:pStyle w:val="230"/>
              <w:spacing w:before="156" w:after="156"/>
              <w:ind w:firstLine="0" w:firstLineChars="0"/>
              <w:rPr>
                <w:color w:val="000000"/>
              </w:rPr>
            </w:pPr>
          </w:p>
        </w:tc>
        <w:tc>
          <w:tcPr>
            <w:tcW w:w="0" w:type="auto"/>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shd w:val="clear" w:color="auto" w:fill="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vAlign w:val="center"/>
          </w:tcPr>
          <w:p>
            <w:pPr>
              <w:pStyle w:val="230"/>
              <w:spacing w:before="156" w:after="156"/>
              <w:ind w:firstLine="0" w:firstLineChars="0"/>
              <w:rPr>
                <w:color w:val="000000"/>
              </w:rPr>
            </w:pPr>
          </w:p>
        </w:tc>
        <w:tc>
          <w:tcPr>
            <w:tcW w:w="0" w:type="auto"/>
            <w:shd w:val="clear" w:color="auto" w:fill="auto"/>
            <w:vAlign w:val="center"/>
          </w:tcPr>
          <w:p>
            <w:pPr>
              <w:pStyle w:val="230"/>
              <w:rPr>
                <w:color w:val="000000"/>
              </w:rPr>
            </w:pPr>
          </w:p>
        </w:tc>
        <w:tc>
          <w:tcPr>
            <w:tcW w:w="0" w:type="auto"/>
            <w:shd w:val="clear" w:color="auto" w:fill="auto"/>
            <w:vAlign w:val="center"/>
          </w:tcPr>
          <w:p>
            <w:pPr>
              <w:pStyle w:val="230"/>
              <w:rPr>
                <w:color w:val="000000"/>
              </w:rPr>
            </w:pPr>
          </w:p>
        </w:tc>
        <w:tc>
          <w:tcPr>
            <w:tcW w:w="0" w:type="auto"/>
            <w:shd w:val="clear" w:color="auto" w:fill="auto"/>
            <w:vAlign w:val="center"/>
          </w:tcPr>
          <w:p>
            <w:pPr>
              <w:pStyle w:val="230"/>
              <w:rPr>
                <w:color w:val="000000"/>
              </w:rPr>
            </w:pPr>
          </w:p>
        </w:tc>
      </w:tr>
    </w:tbl>
    <w:p>
      <w:pPr>
        <w:pStyle w:val="56"/>
        <w:ind w:firstLine="0" w:firstLineChars="0"/>
      </w:pPr>
    </w:p>
    <w:bookmarkEnd w:id="115"/>
    <w:p>
      <w:pPr>
        <w:pStyle w:val="56"/>
        <w:ind w:firstLine="0" w:firstLineChars="0"/>
        <w:jc w:val="center"/>
      </w:pPr>
      <w:bookmarkStart w:id="124" w:name="BookMark8"/>
      <w:r>
        <w:rPr>
          <w:rFonts w:hint="eastAsia"/>
        </w:rPr>
        <w:drawing>
          <wp:inline distT="0" distB="0" distL="0" distR="0">
            <wp:extent cx="1485900" cy="317500"/>
            <wp:effectExtent l="0" t="0" r="0" b="6350"/>
            <wp:docPr id="1899301635" name="图片 1"/>
            <wp:cNvGraphicFramePr/>
            <a:graphic xmlns:a="http://schemas.openxmlformats.org/drawingml/2006/main">
              <a:graphicData uri="http://schemas.openxmlformats.org/drawingml/2006/picture">
                <pic:pic xmlns:pic="http://schemas.openxmlformats.org/drawingml/2006/picture">
                  <pic:nvPicPr>
                    <pic:cNvPr id="1899301635"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4"/>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DB14/T 933—XXXX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933—XXXX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4"/>
      <w:suff w:val="nothing"/>
      <w:lvlText w:val="%1.%2.%3　"/>
      <w:lvlJc w:val="left"/>
      <w:pPr>
        <w:ind w:left="735" w:firstLine="0"/>
      </w:pPr>
      <w:rPr>
        <w:rFonts w:hint="eastAsia" w:ascii="黑体" w:hAnsi="Times New Roman" w:eastAsia="黑体"/>
        <w:b w:val="0"/>
        <w:i w:val="0"/>
        <w:sz w:val="21"/>
      </w:rPr>
    </w:lvl>
    <w:lvl w:ilvl="3" w:tentative="0">
      <w:start w:val="1"/>
      <w:numFmt w:val="decimal"/>
      <w:pStyle w:val="235"/>
      <w:suff w:val="nothing"/>
      <w:lvlText w:val="%1.%2.%3.%4　"/>
      <w:lvlJc w:val="left"/>
      <w:pPr>
        <w:ind w:left="0" w:firstLine="0"/>
      </w:pPr>
      <w:rPr>
        <w:rFonts w:hint="eastAsia" w:ascii="黑体" w:hAnsi="Times New Roman" w:eastAsia="黑体"/>
        <w:b w:val="0"/>
        <w:i w:val="0"/>
        <w:sz w:val="21"/>
      </w:rPr>
    </w:lvl>
    <w:lvl w:ilvl="4" w:tentative="0">
      <w:start w:val="1"/>
      <w:numFmt w:val="decimal"/>
      <w:pStyle w:val="236"/>
      <w:suff w:val="nothing"/>
      <w:lvlText w:val="%1.%2.%3.%4.%5　"/>
      <w:lvlJc w:val="left"/>
      <w:pPr>
        <w:ind w:left="0" w:firstLine="0"/>
      </w:pPr>
      <w:rPr>
        <w:rFonts w:hint="eastAsia" w:ascii="黑体" w:hAnsi="Times New Roman" w:eastAsia="黑体"/>
        <w:b w:val="0"/>
        <w:i w:val="0"/>
        <w:sz w:val="21"/>
      </w:rPr>
    </w:lvl>
    <w:lvl w:ilvl="5" w:tentative="0">
      <w:start w:val="1"/>
      <w:numFmt w:val="decimal"/>
      <w:pStyle w:val="2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0B55DC2"/>
    <w:multiLevelType w:val="multilevel"/>
    <w:tmpl w:val="60B55DC2"/>
    <w:lvl w:ilvl="0" w:tentative="0">
      <w:start w:val="1"/>
      <w:numFmt w:val="upperLetter"/>
      <w:pStyle w:val="238"/>
      <w:lvlText w:val="%1"/>
      <w:lvlJc w:val="left"/>
      <w:pPr>
        <w:tabs>
          <w:tab w:val="left" w:pos="0"/>
        </w:tabs>
        <w:ind w:left="0" w:hanging="425"/>
      </w:pPr>
      <w:rPr>
        <w:rFonts w:hint="eastAsia"/>
      </w:rPr>
    </w:lvl>
    <w:lvl w:ilvl="1" w:tentative="0">
      <w:start w:val="1"/>
      <w:numFmt w:val="decimal"/>
      <w:pStyle w:val="23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284"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attachedTemplate r:id="rId1"/>
  <w:documentProtection w:edit="forms" w:enforcement="1" w:cryptProviderType="rsaAES" w:cryptAlgorithmClass="hash" w:cryptAlgorithmType="typeAny" w:cryptAlgorithmSid="14" w:cryptSpinCount="100000" w:hash="QnmfqJ/vZjwOCU/U8wsb5rjZofFk7fQpdDl2OxYH1uHnJIOK5sVwVaQPZOZ5SuLGgjwSkhJY4PeFO0HrZJbumg==" w:salt="icdEywllS4we1otFQDBGe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ODY4ZWU3ZjBkZWY4NjExMGVjMzQyNWMyNjlkYjgifQ=="/>
  </w:docVars>
  <w:rsids>
    <w:rsidRoot w:val="009E280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76A"/>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58"/>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6BB"/>
    <w:rsid w:val="00133010"/>
    <w:rsid w:val="001338EE"/>
    <w:rsid w:val="00133AAE"/>
    <w:rsid w:val="00135323"/>
    <w:rsid w:val="001356C4"/>
    <w:rsid w:val="00141114"/>
    <w:rsid w:val="00142969"/>
    <w:rsid w:val="001446C2"/>
    <w:rsid w:val="001457E7"/>
    <w:rsid w:val="00145D9D"/>
    <w:rsid w:val="00146388"/>
    <w:rsid w:val="00147DB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22D"/>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0C5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754"/>
    <w:rsid w:val="002A7F44"/>
    <w:rsid w:val="002B0C40"/>
    <w:rsid w:val="002B1966"/>
    <w:rsid w:val="002B4508"/>
    <w:rsid w:val="002B5779"/>
    <w:rsid w:val="002B7332"/>
    <w:rsid w:val="002B7F51"/>
    <w:rsid w:val="002C09E7"/>
    <w:rsid w:val="002C1D6F"/>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3BA8"/>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BF0"/>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E1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2B8"/>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7A5"/>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CF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663"/>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FAE"/>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4A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0E7"/>
    <w:rsid w:val="006F31E9"/>
    <w:rsid w:val="006F6284"/>
    <w:rsid w:val="007002C5"/>
    <w:rsid w:val="00704387"/>
    <w:rsid w:val="00707669"/>
    <w:rsid w:val="00707895"/>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0FC"/>
    <w:rsid w:val="00752B4D"/>
    <w:rsid w:val="00755402"/>
    <w:rsid w:val="00756B26"/>
    <w:rsid w:val="00756EDF"/>
    <w:rsid w:val="007600E3"/>
    <w:rsid w:val="00765C43"/>
    <w:rsid w:val="00765EFB"/>
    <w:rsid w:val="007671CA"/>
    <w:rsid w:val="00767C61"/>
    <w:rsid w:val="0077008A"/>
    <w:rsid w:val="00773C1F"/>
    <w:rsid w:val="00774DA4"/>
    <w:rsid w:val="00776599"/>
    <w:rsid w:val="00777A52"/>
    <w:rsid w:val="0078114B"/>
    <w:rsid w:val="00781DD2"/>
    <w:rsid w:val="00783ECF"/>
    <w:rsid w:val="0078413A"/>
    <w:rsid w:val="00791AB5"/>
    <w:rsid w:val="007959E8"/>
    <w:rsid w:val="00795E9C"/>
    <w:rsid w:val="007A0521"/>
    <w:rsid w:val="007A2E12"/>
    <w:rsid w:val="007A3475"/>
    <w:rsid w:val="007A41C8"/>
    <w:rsid w:val="007A54CE"/>
    <w:rsid w:val="007A6FD9"/>
    <w:rsid w:val="007A7FFA"/>
    <w:rsid w:val="007B04EB"/>
    <w:rsid w:val="007B0D4F"/>
    <w:rsid w:val="007B4B75"/>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CEE"/>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6F6"/>
    <w:rsid w:val="00883F93"/>
    <w:rsid w:val="00884DB3"/>
    <w:rsid w:val="00885A9D"/>
    <w:rsid w:val="00885D70"/>
    <w:rsid w:val="008864F6"/>
    <w:rsid w:val="0089049D"/>
    <w:rsid w:val="008928C9"/>
    <w:rsid w:val="008930CB"/>
    <w:rsid w:val="008938DC"/>
    <w:rsid w:val="00893FD1"/>
    <w:rsid w:val="00894836"/>
    <w:rsid w:val="00895172"/>
    <w:rsid w:val="00895680"/>
    <w:rsid w:val="00896DFF"/>
    <w:rsid w:val="0089762C"/>
    <w:rsid w:val="008A1893"/>
    <w:rsid w:val="008A2B01"/>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97A"/>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003"/>
    <w:rsid w:val="009062E6"/>
    <w:rsid w:val="00911BE5"/>
    <w:rsid w:val="00913CA9"/>
    <w:rsid w:val="009145AE"/>
    <w:rsid w:val="009146CE"/>
    <w:rsid w:val="00914CA7"/>
    <w:rsid w:val="00915C3E"/>
    <w:rsid w:val="009161A8"/>
    <w:rsid w:val="009245F5"/>
    <w:rsid w:val="009249EC"/>
    <w:rsid w:val="00925861"/>
    <w:rsid w:val="009273B3"/>
    <w:rsid w:val="009305B5"/>
    <w:rsid w:val="009429D5"/>
    <w:rsid w:val="00942BF1"/>
    <w:rsid w:val="009431C7"/>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1C4"/>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80E"/>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5AF"/>
    <w:rsid w:val="00A70B07"/>
    <w:rsid w:val="00A723F8"/>
    <w:rsid w:val="00A760C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9D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D4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D6B"/>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2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0E61"/>
    <w:rsid w:val="00C71372"/>
    <w:rsid w:val="00C72410"/>
    <w:rsid w:val="00C7287F"/>
    <w:rsid w:val="00C80982"/>
    <w:rsid w:val="00C80CB8"/>
    <w:rsid w:val="00C819F8"/>
    <w:rsid w:val="00C8248C"/>
    <w:rsid w:val="00C84E33"/>
    <w:rsid w:val="00C86D6F"/>
    <w:rsid w:val="00C87EAB"/>
    <w:rsid w:val="00C905FC"/>
    <w:rsid w:val="00C92D03"/>
    <w:rsid w:val="00C9319C"/>
    <w:rsid w:val="00C93E0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6D30"/>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EF1"/>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4CC"/>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7DD"/>
    <w:rsid w:val="00F56511"/>
    <w:rsid w:val="00F60246"/>
    <w:rsid w:val="00F6194E"/>
    <w:rsid w:val="00F62068"/>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2167FC4"/>
    <w:rsid w:val="33027301"/>
    <w:rsid w:val="4ADB5062"/>
    <w:rsid w:val="74B6725A"/>
    <w:rsid w:val="7BBE210A"/>
    <w:rsid w:val="7DD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ind w:left="567"/>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uiPriority w:val="99"/>
    <w:rPr>
      <w:rFonts w:ascii="宋体" w:hAnsi="Times New Roman"/>
      <w:sz w:val="21"/>
    </w:rPr>
  </w:style>
  <w:style w:type="paragraph" w:customStyle="1" w:styleId="232">
    <w:name w:val="一级条标题"/>
    <w:next w:val="230"/>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章标题"/>
    <w:next w:val="230"/>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4">
    <w:name w:val="二级条标题"/>
    <w:basedOn w:val="232"/>
    <w:next w:val="230"/>
    <w:uiPriority w:val="0"/>
    <w:pPr>
      <w:numPr>
        <w:ilvl w:val="2"/>
      </w:numPr>
      <w:spacing w:before="50" w:after="50"/>
      <w:outlineLvl w:val="3"/>
    </w:pPr>
  </w:style>
  <w:style w:type="paragraph" w:customStyle="1" w:styleId="235">
    <w:name w:val="三级条标题"/>
    <w:basedOn w:val="234"/>
    <w:next w:val="230"/>
    <w:uiPriority w:val="0"/>
    <w:pPr>
      <w:numPr>
        <w:ilvl w:val="3"/>
      </w:numPr>
      <w:outlineLvl w:val="4"/>
    </w:pPr>
  </w:style>
  <w:style w:type="paragraph" w:customStyle="1" w:styleId="236">
    <w:name w:val="四级条标题"/>
    <w:basedOn w:val="235"/>
    <w:next w:val="230"/>
    <w:uiPriority w:val="0"/>
    <w:pPr>
      <w:numPr>
        <w:ilvl w:val="4"/>
      </w:numPr>
      <w:outlineLvl w:val="5"/>
    </w:pPr>
  </w:style>
  <w:style w:type="paragraph" w:customStyle="1" w:styleId="237">
    <w:name w:val="五级条标题"/>
    <w:basedOn w:val="236"/>
    <w:next w:val="230"/>
    <w:uiPriority w:val="0"/>
    <w:pPr>
      <w:numPr>
        <w:ilvl w:val="5"/>
      </w:numPr>
      <w:outlineLvl w:val="6"/>
    </w:pPr>
  </w:style>
  <w:style w:type="paragraph" w:customStyle="1" w:styleId="238">
    <w:name w:val="附录表标号"/>
    <w:basedOn w:val="1"/>
    <w:next w:val="230"/>
    <w:uiPriority w:val="0"/>
    <w:pPr>
      <w:numPr>
        <w:ilvl w:val="0"/>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239">
    <w:name w:val="附录表标题"/>
    <w:basedOn w:val="1"/>
    <w:next w:val="230"/>
    <w:uiPriority w:val="0"/>
    <w:pPr>
      <w:numPr>
        <w:ilvl w:val="1"/>
        <w:numId w:val="33"/>
      </w:numPr>
      <w:tabs>
        <w:tab w:val="left" w:pos="180"/>
      </w:tabs>
      <w:adjustRightInd/>
      <w:spacing w:before="50" w:beforeLines="50" w:after="50" w:afterLines="50" w:line="240" w:lineRule="auto"/>
      <w:ind w:left="0" w:firstLine="0"/>
      <w:jc w:val="center"/>
    </w:pPr>
    <w:rPr>
      <w:rFonts w:ascii="黑体" w:hAnsi="Times New Roman" w:eastAsia="黑体"/>
    </w:rPr>
  </w:style>
  <w:style w:type="paragraph" w:customStyle="1" w:styleId="240">
    <w:name w:val="终结线"/>
    <w:basedOn w:val="1"/>
    <w:uiPriority w:val="0"/>
    <w:pPr>
      <w:framePr w:hSpace="181" w:vSpace="181" w:wrap="around" w:vAnchor="text" w:hAnchor="margin" w:xAlign="center" w:y="285"/>
      <w:adjustRightInd/>
      <w:spacing w:line="240" w:lineRule="auto"/>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BA45938A2A7463EA9397F8A293D3BBF"/>
        <w:style w:val=""/>
        <w:category>
          <w:name w:val="常规"/>
          <w:gallery w:val="placeholder"/>
        </w:category>
        <w:types>
          <w:type w:val="bbPlcHdr"/>
        </w:types>
        <w:behaviors>
          <w:behavior w:val="content"/>
        </w:behaviors>
        <w:description w:val=""/>
        <w:guid w:val="{2581A17E-6419-4B56-A545-E1FEB68B41EA}"/>
      </w:docPartPr>
      <w:docPartBody>
        <w:p>
          <w:pPr>
            <w:pStyle w:val="5"/>
            <w:rPr>
              <w:rFonts w:hint="eastAsia"/>
            </w:rPr>
          </w:pPr>
          <w:r>
            <w:rPr>
              <w:rStyle w:val="4"/>
              <w:rFonts w:hint="eastAsia"/>
            </w:rPr>
            <w:t>单击或点击此处输入文字。</w:t>
          </w:r>
        </w:p>
      </w:docPartBody>
    </w:docPart>
    <w:docPart>
      <w:docPartPr>
        <w:name w:val="24BC650B2B7946549816C6A16ED9EF88"/>
        <w:style w:val=""/>
        <w:category>
          <w:name w:val="常规"/>
          <w:gallery w:val="placeholder"/>
        </w:category>
        <w:types>
          <w:type w:val="bbPlcHdr"/>
        </w:types>
        <w:behaviors>
          <w:behavior w:val="content"/>
        </w:behaviors>
        <w:description w:val=""/>
        <w:guid w:val="{CC577B11-3EDE-4A83-BE77-274A105CD46C}"/>
      </w:docPartPr>
      <w:docPartBody>
        <w:p>
          <w:pPr>
            <w:pStyle w:val="6"/>
            <w:rPr>
              <w:rFonts w:hint="eastAsia"/>
            </w:rPr>
          </w:pPr>
          <w:r>
            <w:rPr>
              <w:rStyle w:val="4"/>
              <w:rFonts w:hint="eastAsia"/>
            </w:rPr>
            <w:t>选择一项。</w:t>
          </w:r>
        </w:p>
      </w:docPartBody>
    </w:docPart>
    <w:docPart>
      <w:docPartPr>
        <w:name w:val="3ACC7CF1E6A44693966E4DF4DC6E19D1"/>
        <w:style w:val=""/>
        <w:category>
          <w:name w:val="常规"/>
          <w:gallery w:val="placeholder"/>
        </w:category>
        <w:types>
          <w:type w:val="bbPlcHdr"/>
        </w:types>
        <w:behaviors>
          <w:behavior w:val="content"/>
        </w:behaviors>
        <w:description w:val=""/>
        <w:guid w:val="{B2F459C7-2DE3-469B-933A-46AEDCD1A4A4}"/>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7BB"/>
    <w:rsid w:val="00147DB3"/>
    <w:rsid w:val="002A3E9C"/>
    <w:rsid w:val="003710D7"/>
    <w:rsid w:val="00381572"/>
    <w:rsid w:val="004C6040"/>
    <w:rsid w:val="006C7AB6"/>
    <w:rsid w:val="00773078"/>
    <w:rsid w:val="007B4B75"/>
    <w:rsid w:val="009222E5"/>
    <w:rsid w:val="009B1D0D"/>
    <w:rsid w:val="00A734B6"/>
    <w:rsid w:val="00B55A24"/>
    <w:rsid w:val="00C3602A"/>
    <w:rsid w:val="00C917FE"/>
    <w:rsid w:val="00D76D30"/>
    <w:rsid w:val="00DF5EF1"/>
    <w:rsid w:val="00E478BC"/>
    <w:rsid w:val="00F34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BA45938A2A7463EA9397F8A293D3BB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24BC650B2B7946549816C6A16ED9EF8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3ACC7CF1E6A44693966E4DF4DC6E19D1"/>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494DF3-CA87-4C12-BCE9-20026F97700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3639</Words>
  <Characters>4020</Characters>
  <Lines>41</Lines>
  <Paragraphs>11</Paragraphs>
  <TotalTime>234</TotalTime>
  <ScaleCrop>false</ScaleCrop>
  <LinksUpToDate>false</LinksUpToDate>
  <CharactersWithSpaces>4303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2024-01-15T08:14:00Z</dcterms:created>
  <dc:creator>yulu_</dc:creator>
  <dc:description>&lt;config cover="true" show_menu="true" version="1.0.0" doctype="SDKXY"&gt;_x000d_
&lt;/config&gt;</dc:description>
  <cp:lastModifiedBy>露</cp:lastModifiedBy>
  <cp:lastPrinted>2024-08-02T06:34:00Z</cp:lastPrinted>
  <dcterms:modified xsi:type="dcterms:W3CDTF">2024-08-02T07:27:35Z</dcterms:modified>
  <dc:title>地方标准</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FB943000402248B399716744DDB4E3D3_12</vt:lpwstr>
  </property>
</Properties>
</file>